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441226-2025-00858</w:t>
      </w:r>
    </w:p>
    <w:p>
      <w:pPr>
        <w:pStyle w:val="null3"/>
        <w:jc w:val="center"/>
        <w:outlineLvl w:val="3"/>
      </w:pPr>
      <w:r>
        <w:rPr>
          <w:sz w:val="24"/>
          <w:b/>
        </w:rPr>
        <w:t>采购项目编号：</w:t>
      </w:r>
      <w:r>
        <w:rPr>
          <w:sz w:val="24"/>
          <w:b/>
        </w:rPr>
        <w:t>GDXT-2025-16</w:t>
      </w:r>
    </w:p>
    <w:p>
      <w:pPr>
        <w:pStyle w:val="null3"/>
        <w:jc w:val="center"/>
        <w:outlineLvl w:val="3"/>
      </w:pPr>
      <w:r>
        <w:rPr>
          <w:sz w:val="24"/>
          <w:b/>
        </w:rPr>
        <w:t>项目名称：</w:t>
      </w:r>
      <w:r>
        <w:rPr>
          <w:sz w:val="24"/>
          <w:b/>
        </w:rPr>
        <w:t>德庆县2025年森林质量精准提升项目（新造油茶）</w:t>
      </w:r>
    </w:p>
    <w:p>
      <w:pPr>
        <w:pStyle w:val="null3"/>
        <w:jc w:val="center"/>
        <w:outlineLvl w:val="3"/>
      </w:pPr>
      <w:r>
        <w:rPr>
          <w:sz w:val="24"/>
          <w:b/>
        </w:rPr>
        <w:t>采购人：</w:t>
      </w:r>
      <w:r>
        <w:rPr>
          <w:sz w:val="24"/>
          <w:b/>
        </w:rPr>
        <w:t>德庆县林业局</w:t>
      </w:r>
    </w:p>
    <w:p>
      <w:pPr>
        <w:pStyle w:val="null3"/>
        <w:jc w:val="center"/>
        <w:outlineLvl w:val="3"/>
      </w:pPr>
      <w:r>
        <w:rPr>
          <w:sz w:val="24"/>
          <w:b/>
        </w:rPr>
        <w:t>采购代理机构：</w:t>
      </w:r>
      <w:r>
        <w:rPr>
          <w:sz w:val="24"/>
          <w:b/>
        </w:rPr>
        <w:t>广东祥泰工程项目管理有限公司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广东祥泰工程项目管理有限公司</w:t>
      </w:r>
      <w:r>
        <w:rPr/>
        <w:t>受</w:t>
      </w:r>
      <w:r>
        <w:rPr/>
        <w:t>德庆县林业局</w:t>
      </w:r>
      <w:r>
        <w:rPr/>
        <w:t>的委托，采用</w:t>
      </w:r>
      <w:r>
        <w:rPr/>
        <w:t>公开招标</w:t>
      </w:r>
      <w:r>
        <w:rPr/>
        <w:t>方式组织采购</w:t>
      </w:r>
      <w:r>
        <w:rPr/>
        <w:t>德庆县2025年森林质量精准提升项目（新造油茶）</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德庆县2025年森林质量精准提升项目（新造油茶）</w:t>
      </w:r>
    </w:p>
    <w:p>
      <w:pPr>
        <w:pStyle w:val="null3"/>
        <w:ind w:firstLine="480"/>
      </w:pPr>
      <w:r>
        <w:rPr/>
        <w:t>采购计划编号：</w:t>
      </w:r>
      <w:r>
        <w:rPr/>
        <w:t>441226-2025-00858</w:t>
      </w:r>
    </w:p>
    <w:p>
      <w:pPr>
        <w:pStyle w:val="null3"/>
        <w:ind w:firstLine="480"/>
      </w:pPr>
      <w:r>
        <w:rPr/>
        <w:t>采购项目编号：</w:t>
      </w:r>
      <w:r>
        <w:rPr/>
        <w:t>GDXT-2025-16</w:t>
      </w:r>
    </w:p>
    <w:p>
      <w:pPr>
        <w:pStyle w:val="null3"/>
        <w:ind w:firstLine="480"/>
      </w:pPr>
      <w:r>
        <w:rPr/>
        <w:t>采购方式：</w:t>
      </w:r>
      <w:r>
        <w:rPr/>
        <w:t>公开招标</w:t>
      </w:r>
    </w:p>
    <w:p>
      <w:pPr>
        <w:pStyle w:val="null3"/>
        <w:ind w:firstLine="480"/>
      </w:pPr>
      <w:r>
        <w:rPr/>
        <w:t>预算金额：</w:t>
      </w:r>
      <w:r>
        <w:rPr/>
        <w:t>4,172,600.00</w:t>
      </w:r>
      <w:r>
        <w:rPr/>
        <w:t>元</w:t>
      </w:r>
    </w:p>
    <w:p>
      <w:pPr>
        <w:pStyle w:val="null3"/>
        <w:outlineLvl w:val="3"/>
      </w:pPr>
      <w:r>
        <w:rPr>
          <w:sz w:val="24"/>
          <w:b/>
        </w:rPr>
        <w:t>2.项目内容及需求情况（采购项目技术规格、参数及要求）</w:t>
      </w:r>
    </w:p>
    <w:p>
      <w:pPr>
        <w:pStyle w:val="null3"/>
      </w:pPr>
      <w:r>
        <w:rPr/>
        <w:t>采购包1(德庆县2025年森林质量精准提升项目（新造油茶）):</w:t>
      </w:r>
    </w:p>
    <w:p>
      <w:pPr>
        <w:pStyle w:val="null3"/>
      </w:pPr>
      <w:r>
        <w:rPr/>
        <w:t>采购包预算金额：4,172,600.00元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造林服务</w:t>
            </w:r>
          </w:p>
        </w:tc>
        <w:tc>
          <w:tcPr>
            <w:tcW w:type="dxa" w:w="2136"/>
          </w:tcPr>
          <w:p>
            <w:pPr>
              <w:pStyle w:val="null3"/>
            </w:pPr>
            <w:r>
              <w:rPr/>
              <w:t>德庆县2025年森林质量精准提升项目（新造油茶）</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合同履行期限：自签订合同之日起至2025年12月31日前完成。质保期以省核验通过时间为准（具体以合同签订时间为准）。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供应商提供以下其中一项有效材料即可：1、针对该项作出承诺，并加盖公章（格式可参照《附件1.资格条件承诺函》）；2、提供2024年度财务状况报告或基本开户行出具的资信证明。</w:t>
      </w:r>
    </w:p>
    <w:p>
      <w:pPr>
        <w:pStyle w:val="null3"/>
      </w:pPr>
      <w:r>
        <w:rPr/>
        <w:t>4）履行合同所必需的设备和专业技术能力：供应商提供以下其中一项有效材料即可：1、针对该项作出承诺，并加盖公章（格式可参照《附件1.资格条件承诺函》）；2、按投标（响应）文件格式填报设备及专业技术能力情况。</w:t>
      </w:r>
    </w:p>
    <w:p>
      <w:pPr>
        <w:pStyle w:val="null3"/>
      </w:pPr>
      <w:r>
        <w:rPr/>
        <w:t>5）参加采购活动前3年内，在经营活动中没有重大违法记录：供应商提供以下其中一项有效材料即可：1、针对该项作出承诺，并加盖公章（格式可参照《附件1.资格条件承诺函》）；2、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采购包1（德庆县2025年森林质量精准提升项目（新造油茶））：</w:t>
      </w:r>
      <w:r>
        <w:rPr/>
        <w:t>参与的供应商（联合体）服务全部由符合政策要求的中小企业承接</w:t>
      </w:r>
    </w:p>
    <w:p>
      <w:pPr>
        <w:pStyle w:val="null3"/>
        <w:outlineLvl w:val="3"/>
      </w:pPr>
      <w:r>
        <w:rPr>
          <w:sz w:val="24"/>
          <w:b/>
        </w:rPr>
        <w:t>3.本项目特定的资格要求：</w:t>
      </w:r>
    </w:p>
    <w:p>
      <w:pPr>
        <w:pStyle w:val="null3"/>
      </w:pPr>
      <w:r>
        <w:rPr/>
        <w:t>采购包1（德庆县2025年森林质量精准提升项目（新造油茶））：</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3)供应商必须具备有效的造林绿化施工单位资质丙级或以上资质证书。</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广东祥泰工程项目管理有限公司网（http://www.xtgcxm.com）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德庆县林业局</w:t>
      </w:r>
    </w:p>
    <w:p>
      <w:pPr>
        <w:pStyle w:val="null3"/>
        <w:ind w:firstLine="480"/>
      </w:pPr>
      <w:r>
        <w:rPr/>
        <w:t xml:space="preserve"> 地址：</w:t>
      </w:r>
      <w:r>
        <w:rPr/>
        <w:t>广东省肇庆市德庆县德庆大道12号</w:t>
      </w:r>
    </w:p>
    <w:p>
      <w:pPr>
        <w:pStyle w:val="null3"/>
        <w:ind w:firstLine="480"/>
      </w:pPr>
      <w:r>
        <w:rPr/>
        <w:t xml:space="preserve"> 联系方式：</w:t>
      </w:r>
      <w:r>
        <w:rPr/>
        <w:t>0758-7789222</w:t>
      </w:r>
    </w:p>
    <w:p>
      <w:pPr>
        <w:pStyle w:val="null3"/>
        <w:outlineLvl w:val="3"/>
      </w:pPr>
      <w:r>
        <w:rPr>
          <w:sz w:val="24"/>
          <w:b/>
        </w:rPr>
        <w:t xml:space="preserve"> 2.采购代理机构信息</w:t>
      </w:r>
    </w:p>
    <w:p>
      <w:pPr>
        <w:pStyle w:val="null3"/>
        <w:ind w:firstLine="480"/>
      </w:pPr>
      <w:r>
        <w:rPr/>
        <w:t xml:space="preserve"> 名称：</w:t>
      </w:r>
      <w:r>
        <w:rPr/>
        <w:t>广东祥泰工程项目管理有限公司</w:t>
      </w:r>
    </w:p>
    <w:p>
      <w:pPr>
        <w:pStyle w:val="null3"/>
        <w:ind w:firstLine="480"/>
      </w:pPr>
      <w:r>
        <w:rPr/>
        <w:t xml:space="preserve"> 地址：</w:t>
      </w:r>
      <w:r>
        <w:rPr/>
        <w:t>广东省肇庆市端州区78区祥福路南侧鸿景悦园一幢二层写字楼204室</w:t>
      </w:r>
    </w:p>
    <w:p>
      <w:pPr>
        <w:pStyle w:val="null3"/>
        <w:ind w:firstLine="480"/>
      </w:pPr>
      <w:r>
        <w:rPr/>
        <w:t xml:space="preserve"> 联系方式：</w:t>
      </w:r>
      <w:r>
        <w:rPr/>
        <w:t>17728823288</w:t>
      </w:r>
    </w:p>
    <w:p>
      <w:pPr>
        <w:pStyle w:val="null3"/>
        <w:outlineLvl w:val="3"/>
      </w:pPr>
      <w:r>
        <w:rPr>
          <w:sz w:val="24"/>
          <w:b/>
        </w:rPr>
        <w:t xml:space="preserve"> 3.项目联系方式</w:t>
      </w:r>
    </w:p>
    <w:p>
      <w:pPr>
        <w:pStyle w:val="null3"/>
        <w:ind w:firstLine="480"/>
      </w:pPr>
      <w:r>
        <w:rPr/>
        <w:t xml:space="preserve"> 项目联系人：</w:t>
      </w:r>
      <w:r>
        <w:rPr/>
        <w:t>黄先生</w:t>
      </w:r>
    </w:p>
    <w:p>
      <w:pPr>
        <w:pStyle w:val="null3"/>
        <w:ind w:firstLine="480"/>
      </w:pPr>
      <w:r>
        <w:rPr/>
        <w:t xml:space="preserve"> 电话：</w:t>
      </w:r>
      <w:r>
        <w:rPr/>
        <w:t>17728823288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广东祥泰工程项目管理有限公司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本项目</w:t>
      </w:r>
      <w:r>
        <w:rPr>
          <w:sz w:val="24"/>
        </w:rPr>
        <w:t>油茶新造</w:t>
      </w:r>
      <w:r>
        <w:rPr>
          <w:sz w:val="24"/>
        </w:rPr>
        <w:t>建设任务总面积为</w:t>
      </w:r>
      <w:r>
        <w:rPr>
          <w:sz w:val="24"/>
        </w:rPr>
        <w:t>4500.0亩</w:t>
      </w:r>
      <w:r>
        <w:rPr>
          <w:sz w:val="24"/>
        </w:rPr>
        <w:t>，共</w:t>
      </w:r>
      <w:r>
        <w:rPr>
          <w:sz w:val="24"/>
        </w:rPr>
        <w:t>45个</w:t>
      </w:r>
      <w:r>
        <w:rPr>
          <w:sz w:val="24"/>
        </w:rPr>
        <w:t>作业小班</w:t>
      </w:r>
      <w:r>
        <w:rPr>
          <w:sz w:val="24"/>
        </w:rPr>
        <w:t>。</w:t>
      </w:r>
      <w:r>
        <w:rPr>
          <w:sz w:val="24"/>
        </w:rPr>
        <w:t>项目建设应注重当地生物多样性保护、生态保护和促进经济社会发展。根据适地适树、相对集中连片、利于施工和建设管理的原则，本项目造林地的选择重点考虑肥沃的岗地或丘陵低山中下部位，主要包括</w:t>
      </w:r>
      <w:r>
        <w:rPr>
          <w:sz w:val="24"/>
        </w:rPr>
        <w:t>乔木林地、疏林地、</w:t>
      </w:r>
      <w:r>
        <w:rPr>
          <w:sz w:val="24"/>
        </w:rPr>
        <w:t>采伐迹地等。分布在德庆县各乡镇，面积</w:t>
      </w:r>
      <w:r>
        <w:rPr>
          <w:sz w:val="24"/>
        </w:rPr>
        <w:t>共</w:t>
      </w:r>
      <w:r>
        <w:rPr>
          <w:sz w:val="24"/>
        </w:rPr>
        <w:t>4500.0亩</w:t>
      </w:r>
      <w:r>
        <w:rPr>
          <w:sz w:val="24"/>
        </w:rPr>
        <w:t>，详见《实施规模统计表》</w:t>
      </w:r>
      <w:r>
        <w:rPr>
          <w:sz w:val="24"/>
        </w:rPr>
        <w:t>。</w:t>
      </w:r>
    </w:p>
    <w:p>
      <w:pPr>
        <w:pStyle w:val="null3"/>
        <w:jc w:val="center"/>
      </w:pPr>
      <w:r>
        <w:rPr>
          <w:sz w:val="24"/>
          <w:b/>
        </w:rPr>
        <w:t>《</w:t>
      </w:r>
      <w:r>
        <w:rPr>
          <w:sz w:val="24"/>
          <w:b/>
        </w:rPr>
        <w:t>实施规模统计表</w:t>
      </w:r>
      <w:r>
        <w:rPr>
          <w:sz w:val="24"/>
          <w:b/>
        </w:rPr>
        <w:t>》</w:t>
      </w:r>
    </w:p>
    <w:tbl>
      <w:tblPr>
        <w:tblW w:w="0" w:type="auto"/>
        <w:tblBorders>
          <w:top w:val="none" w:color="000000" w:sz="4"/>
          <w:left w:val="none" w:color="000000" w:sz="4"/>
          <w:bottom w:val="none" w:color="000000" w:sz="4"/>
          <w:right w:val="none" w:color="000000" w:sz="4"/>
          <w:insideH w:val="none"/>
          <w:insideV w:val="none"/>
        </w:tblBorders>
      </w:tblPr>
      <w:tblGrid>
        <w:gridCol w:w="1382"/>
        <w:gridCol w:w="1384"/>
        <w:gridCol w:w="1384"/>
        <w:gridCol w:w="1384"/>
        <w:gridCol w:w="1384"/>
        <w:gridCol w:w="1384"/>
      </w:tblGrid>
      <w:tr>
        <w:tc>
          <w:tcPr>
            <w:tcW w:type="dxa" w:w="138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138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镇</w:t>
            </w:r>
          </w:p>
        </w:tc>
        <w:tc>
          <w:tcPr>
            <w:tcW w:type="dxa" w:w="138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合计</w:t>
            </w:r>
            <w:r>
              <w:br/>
            </w:r>
            <w:r>
              <w:rPr>
                <w:sz w:val="24"/>
                <w:b/>
                <w:color w:val="000000"/>
              </w:rPr>
              <w:t>（亩）</w:t>
            </w:r>
          </w:p>
        </w:tc>
        <w:tc>
          <w:tcPr>
            <w:tcW w:type="dxa" w:w="4152"/>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作业设计类型</w:t>
            </w:r>
          </w:p>
        </w:tc>
      </w:tr>
      <w:tr>
        <w:tc>
          <w:tcPr>
            <w:tcW w:type="dxa" w:w="1382"/>
            <w:vMerge/>
            <w:tcBorders>
              <w:top w:val="single" w:color="000000" w:sz="4"/>
              <w:left w:val="single" w:color="000000" w:sz="4"/>
              <w:bottom w:val="single" w:color="000000" w:sz="4"/>
              <w:right w:val="single" w:color="000000" w:sz="4"/>
            </w:tcBorders>
          </w:tcPr>
          <w:p/>
        </w:tc>
        <w:tc>
          <w:tcPr>
            <w:tcW w:type="dxa" w:w="1384"/>
            <w:vMerge/>
            <w:tcBorders>
              <w:top w:val="single" w:color="000000" w:sz="4"/>
              <w:left w:val="none" w:color="000000" w:sz="4"/>
              <w:bottom w:val="single" w:color="000000" w:sz="4"/>
              <w:right w:val="single" w:color="000000" w:sz="4"/>
            </w:tcBorders>
          </w:tcPr>
          <w:p/>
        </w:tc>
        <w:tc>
          <w:tcPr>
            <w:tcW w:type="dxa" w:w="1384"/>
            <w:vMerge/>
            <w:tcBorders>
              <w:top w:val="singl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人工造林</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更新造林</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套种</w:t>
            </w:r>
          </w:p>
        </w:tc>
      </w:tr>
      <w:tr>
        <w:tc>
          <w:tcPr>
            <w:tcW w:type="dxa" w:w="276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小计</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4500.0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301.0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2752.8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1446.2</w:t>
            </w:r>
          </w:p>
        </w:tc>
      </w:tr>
      <w:tr>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凤村镇</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433.4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433.4</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0.0</w:t>
            </w:r>
          </w:p>
        </w:tc>
      </w:tr>
      <w:tr>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官圩镇</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866.4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184.5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541.1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140.8</w:t>
            </w:r>
          </w:p>
        </w:tc>
      </w:tr>
      <w:tr>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回龙镇</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577.5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36.4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170.9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370.2</w:t>
            </w:r>
          </w:p>
        </w:tc>
      </w:tr>
      <w:tr>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马圩镇</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355.2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304.6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0.0</w:t>
            </w:r>
          </w:p>
        </w:tc>
      </w:tr>
      <w:tr>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莫村镇</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907.5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907.5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0.0</w:t>
            </w:r>
          </w:p>
        </w:tc>
      </w:tr>
      <w:tr>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武垄镇</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79.7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79.7</w:t>
            </w:r>
          </w:p>
        </w:tc>
      </w:tr>
      <w:tr>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新圩镇</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199.6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199.6</w:t>
            </w:r>
          </w:p>
        </w:tc>
      </w:tr>
      <w:tr>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悦城镇</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1080.7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395.3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655.9</w:t>
            </w:r>
          </w:p>
        </w:tc>
      </w:tr>
    </w:tbl>
    <w:p>
      <w:pPr>
        <w:pStyle w:val="null3"/>
      </w:pPr>
      <w:r>
        <w:rPr>
          <w:sz w:val="24"/>
          <w:b/>
        </w:rPr>
        <w:t>二、物资需要量</w:t>
      </w:r>
    </w:p>
    <w:p>
      <w:pPr>
        <w:pStyle w:val="null3"/>
        <w:jc w:val="both"/>
      </w:pPr>
      <w:r>
        <w:rPr>
          <w:sz w:val="24"/>
        </w:rPr>
        <w:t>（一）</w:t>
      </w:r>
      <w:r>
        <w:rPr>
          <w:sz w:val="24"/>
        </w:rPr>
        <w:t>工程量</w:t>
      </w:r>
    </w:p>
    <w:p>
      <w:pPr>
        <w:pStyle w:val="null3"/>
        <w:ind w:firstLine="480"/>
        <w:jc w:val="both"/>
      </w:pPr>
      <w:r>
        <w:rPr>
          <w:sz w:val="24"/>
        </w:rPr>
        <w:t>作业设计工程量为</w:t>
      </w:r>
      <w:r>
        <w:rPr>
          <w:sz w:val="24"/>
        </w:rPr>
        <w:t>4500.0</w:t>
      </w:r>
      <w:r>
        <w:rPr>
          <w:sz w:val="24"/>
        </w:rPr>
        <w:t>亩</w:t>
      </w:r>
      <w:r>
        <w:rPr>
          <w:sz w:val="24"/>
        </w:rPr>
        <w:t>。</w:t>
      </w:r>
    </w:p>
    <w:p>
      <w:pPr>
        <w:pStyle w:val="null3"/>
        <w:jc w:val="both"/>
      </w:pPr>
      <w:r>
        <w:rPr>
          <w:sz w:val="24"/>
        </w:rPr>
        <w:t>（二）用工量</w:t>
      </w:r>
    </w:p>
    <w:p>
      <w:pPr>
        <w:pStyle w:val="null3"/>
        <w:ind w:firstLine="480"/>
        <w:jc w:val="both"/>
      </w:pPr>
      <w:r>
        <w:rPr>
          <w:sz w:val="24"/>
        </w:rPr>
        <w:t>本项目建设总用工量为</w:t>
      </w:r>
      <w:r>
        <w:rPr>
          <w:sz w:val="24"/>
        </w:rPr>
        <w:t>27806.1</w:t>
      </w:r>
      <w:r>
        <w:rPr>
          <w:sz w:val="24"/>
        </w:rPr>
        <w:t>工日，工人劳动力主要用于林地清理、整地挖穴、施基肥与回土、栽植和抚育人工等。</w:t>
      </w:r>
    </w:p>
    <w:p>
      <w:pPr>
        <w:pStyle w:val="null3"/>
        <w:jc w:val="both"/>
      </w:pPr>
      <w:r>
        <w:rPr>
          <w:sz w:val="24"/>
        </w:rPr>
        <w:t>（三）苗木需要量</w:t>
      </w:r>
    </w:p>
    <w:p>
      <w:pPr>
        <w:pStyle w:val="null3"/>
        <w:ind w:firstLine="480"/>
        <w:jc w:val="both"/>
      </w:pPr>
      <w:r>
        <w:rPr>
          <w:sz w:val="24"/>
        </w:rPr>
        <w:t>本项目</w:t>
      </w:r>
      <w:r>
        <w:rPr>
          <w:sz w:val="24"/>
        </w:rPr>
        <w:t>当年</w:t>
      </w:r>
      <w:r>
        <w:rPr>
          <w:sz w:val="24"/>
        </w:rPr>
        <w:t>苗木需求量总</w:t>
      </w:r>
      <w:r>
        <w:rPr>
          <w:sz w:val="24"/>
        </w:rPr>
        <w:t>量</w:t>
      </w:r>
      <w:r>
        <w:rPr>
          <w:sz w:val="24"/>
        </w:rPr>
        <w:t>为</w:t>
      </w:r>
      <w:r>
        <w:rPr>
          <w:sz w:val="24"/>
        </w:rPr>
        <w:t>353016</w:t>
      </w:r>
      <w:r>
        <w:rPr>
          <w:sz w:val="24"/>
        </w:rPr>
        <w:t>株（含损耗和补植）。</w:t>
      </w:r>
      <w:r>
        <w:rPr>
          <w:sz w:val="24"/>
        </w:rPr>
        <w:t>当年种植</w:t>
      </w:r>
      <w:r>
        <w:rPr>
          <w:sz w:val="24"/>
        </w:rPr>
        <w:t>阶段</w:t>
      </w:r>
      <w:r>
        <w:rPr>
          <w:sz w:val="24"/>
        </w:rPr>
        <w:t>苗木需求数量为</w:t>
      </w:r>
      <w:r>
        <w:rPr>
          <w:sz w:val="24"/>
        </w:rPr>
        <w:t>322319</w:t>
      </w:r>
      <w:r>
        <w:rPr>
          <w:sz w:val="24"/>
        </w:rPr>
        <w:t>株（含</w:t>
      </w:r>
      <w:r>
        <w:rPr>
          <w:sz w:val="24"/>
        </w:rPr>
        <w:t>5%</w:t>
      </w:r>
      <w:r>
        <w:rPr>
          <w:sz w:val="24"/>
        </w:rPr>
        <w:t>苗木损耗），其中采购人提供苗木</w:t>
      </w:r>
      <w:r>
        <w:rPr>
          <w:sz w:val="24"/>
        </w:rPr>
        <w:t>60000</w:t>
      </w:r>
      <w:r>
        <w:rPr>
          <w:sz w:val="24"/>
        </w:rPr>
        <w:t>株，种植阶段苗木实际购买数量为</w:t>
      </w:r>
      <w:r>
        <w:rPr>
          <w:sz w:val="24"/>
        </w:rPr>
        <w:t>262319</w:t>
      </w:r>
      <w:r>
        <w:rPr>
          <w:sz w:val="24"/>
        </w:rPr>
        <w:t>株；</w:t>
      </w:r>
      <w:r>
        <w:rPr>
          <w:sz w:val="24"/>
        </w:rPr>
        <w:t>抚育</w:t>
      </w:r>
      <w:r>
        <w:rPr>
          <w:sz w:val="24"/>
        </w:rPr>
        <w:t>阶段</w:t>
      </w:r>
      <w:r>
        <w:rPr>
          <w:sz w:val="24"/>
        </w:rPr>
        <w:t>补苗量</w:t>
      </w:r>
      <w:r>
        <w:rPr>
          <w:sz w:val="24"/>
        </w:rPr>
        <w:t>为</w:t>
      </w:r>
      <w:r>
        <w:rPr>
          <w:sz w:val="24"/>
        </w:rPr>
        <w:t>30697</w:t>
      </w:r>
      <w:r>
        <w:rPr>
          <w:sz w:val="24"/>
        </w:rPr>
        <w:t>株（种植数量的</w:t>
      </w:r>
      <w:r>
        <w:rPr>
          <w:sz w:val="24"/>
        </w:rPr>
        <w:t>10%</w:t>
      </w:r>
      <w:r>
        <w:rPr>
          <w:sz w:val="24"/>
        </w:rPr>
        <w:t>）。苗木需要量详见苗木需要量表。</w:t>
      </w:r>
    </w:p>
    <w:p>
      <w:pPr>
        <w:pStyle w:val="null3"/>
        <w:jc w:val="center"/>
      </w:pPr>
      <w:r>
        <w:rPr>
          <w:sz w:val="24"/>
          <w:b/>
        </w:rPr>
        <w:t>《</w:t>
      </w:r>
      <w:r>
        <w:rPr>
          <w:sz w:val="24"/>
          <w:b/>
        </w:rPr>
        <w:t>苗木需要量表</w:t>
      </w:r>
      <w:r>
        <w:rPr>
          <w:sz w:val="24"/>
          <w:b/>
        </w:rPr>
        <w:t>》</w:t>
      </w:r>
    </w:p>
    <w:p>
      <w:pPr>
        <w:pStyle w:val="null3"/>
        <w:ind w:right="630" w:firstLine="480"/>
        <w:jc w:val="right"/>
      </w:pPr>
      <w:r>
        <w:rPr>
          <w:sz w:val="24"/>
        </w:rPr>
        <w:t xml:space="preserve">    </w:t>
      </w:r>
      <w:r>
        <w:rPr>
          <w:sz w:val="24"/>
        </w:rPr>
        <w:t>单位：株</w:t>
      </w:r>
    </w:p>
    <w:tbl>
      <w:tblPr>
        <w:tblW w:w="0" w:type="auto"/>
        <w:tblBorders>
          <w:top w:val="none" w:color="000000" w:sz="4"/>
          <w:left w:val="none" w:color="000000" w:sz="4"/>
          <w:bottom w:val="none" w:color="000000" w:sz="4"/>
          <w:right w:val="none" w:color="000000" w:sz="4"/>
          <w:insideH w:val="none"/>
          <w:insideV w:val="none"/>
        </w:tblBorders>
      </w:tblPr>
      <w:tblGrid>
        <w:gridCol w:w="5791"/>
        <w:gridCol w:w="2478"/>
      </w:tblGrid>
      <w:tr>
        <w:tc>
          <w:tcPr>
            <w:tcW w:type="dxa" w:w="5791"/>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b/>
                <w:color w:val="000000"/>
              </w:rPr>
              <w:t>镇</w:t>
            </w:r>
          </w:p>
        </w:tc>
        <w:tc>
          <w:tcPr>
            <w:tcW w:type="dxa" w:w="24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苗木需要量</w:t>
            </w:r>
          </w:p>
        </w:tc>
      </w:tr>
      <w:tr>
        <w:tc>
          <w:tcPr>
            <w:tcW w:type="dxa" w:w="57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合计</w:t>
            </w:r>
          </w:p>
        </w:tc>
        <w:tc>
          <w:tcPr>
            <w:tcW w:type="dxa" w:w="2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306970</w:t>
            </w:r>
          </w:p>
        </w:tc>
      </w:tr>
      <w:tr>
        <w:tc>
          <w:tcPr>
            <w:tcW w:type="dxa" w:w="5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凤村镇</w:t>
            </w:r>
          </w:p>
        </w:tc>
        <w:tc>
          <w:tcPr>
            <w:tcW w:type="dxa" w:w="2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32072</w:t>
            </w:r>
          </w:p>
        </w:tc>
      </w:tr>
      <w:tr>
        <w:tc>
          <w:tcPr>
            <w:tcW w:type="dxa" w:w="5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官圩镇</w:t>
            </w:r>
          </w:p>
        </w:tc>
        <w:tc>
          <w:tcPr>
            <w:tcW w:type="dxa" w:w="2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61580</w:t>
            </w:r>
          </w:p>
        </w:tc>
      </w:tr>
      <w:tr>
        <w:tc>
          <w:tcPr>
            <w:tcW w:type="dxa" w:w="5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回龙镇</w:t>
            </w:r>
          </w:p>
        </w:tc>
        <w:tc>
          <w:tcPr>
            <w:tcW w:type="dxa" w:w="2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36072</w:t>
            </w:r>
          </w:p>
        </w:tc>
      </w:tr>
      <w:tr>
        <w:tc>
          <w:tcPr>
            <w:tcW w:type="dxa" w:w="5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马圩镇</w:t>
            </w:r>
          </w:p>
        </w:tc>
        <w:tc>
          <w:tcPr>
            <w:tcW w:type="dxa" w:w="2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26284</w:t>
            </w:r>
          </w:p>
        </w:tc>
      </w:tr>
      <w:tr>
        <w:tc>
          <w:tcPr>
            <w:tcW w:type="dxa" w:w="5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莫村镇</w:t>
            </w:r>
          </w:p>
        </w:tc>
        <w:tc>
          <w:tcPr>
            <w:tcW w:type="dxa" w:w="2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67155</w:t>
            </w:r>
          </w:p>
        </w:tc>
      </w:tr>
      <w:tr>
        <w:tc>
          <w:tcPr>
            <w:tcW w:type="dxa" w:w="5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武垄镇</w:t>
            </w:r>
          </w:p>
        </w:tc>
        <w:tc>
          <w:tcPr>
            <w:tcW w:type="dxa" w:w="2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4463</w:t>
            </w:r>
          </w:p>
        </w:tc>
      </w:tr>
      <w:tr>
        <w:tc>
          <w:tcPr>
            <w:tcW w:type="dxa" w:w="5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新圩镇</w:t>
            </w:r>
          </w:p>
        </w:tc>
        <w:tc>
          <w:tcPr>
            <w:tcW w:type="dxa" w:w="2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11178</w:t>
            </w:r>
          </w:p>
        </w:tc>
      </w:tr>
      <w:tr>
        <w:tc>
          <w:tcPr>
            <w:tcW w:type="dxa" w:w="5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悦城镇</w:t>
            </w:r>
          </w:p>
        </w:tc>
        <w:tc>
          <w:tcPr>
            <w:tcW w:type="dxa" w:w="2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68166</w:t>
            </w:r>
          </w:p>
        </w:tc>
      </w:tr>
      <w:tr>
        <w:tc>
          <w:tcPr>
            <w:tcW w:type="dxa" w:w="5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当年种植阶段苗木实际购买量（含</w:t>
            </w:r>
            <w:r>
              <w:rPr>
                <w:sz w:val="24"/>
                <w:color w:val="000000"/>
              </w:rPr>
              <w:t>5%苗木损耗）</w:t>
            </w:r>
          </w:p>
        </w:tc>
        <w:tc>
          <w:tcPr>
            <w:tcW w:type="dxa" w:w="2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262319</w:t>
            </w:r>
          </w:p>
        </w:tc>
      </w:tr>
      <w:tr>
        <w:tc>
          <w:tcPr>
            <w:tcW w:type="dxa" w:w="5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采购人提供苗木</w:t>
            </w:r>
          </w:p>
        </w:tc>
        <w:tc>
          <w:tcPr>
            <w:tcW w:type="dxa" w:w="2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60000</w:t>
            </w:r>
          </w:p>
        </w:tc>
      </w:tr>
      <w:tr>
        <w:tc>
          <w:tcPr>
            <w:tcW w:type="dxa" w:w="5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当年抚育阶段补植苗木需求量（种植数量的</w:t>
            </w:r>
            <w:r>
              <w:rPr>
                <w:sz w:val="24"/>
                <w:color w:val="000000"/>
              </w:rPr>
              <w:t>10%）</w:t>
            </w:r>
          </w:p>
        </w:tc>
        <w:tc>
          <w:tcPr>
            <w:tcW w:type="dxa" w:w="2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30697</w:t>
            </w:r>
          </w:p>
        </w:tc>
      </w:tr>
      <w:tr>
        <w:tc>
          <w:tcPr>
            <w:tcW w:type="dxa" w:w="5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第一年苗木需求总量</w:t>
            </w:r>
          </w:p>
        </w:tc>
        <w:tc>
          <w:tcPr>
            <w:tcW w:type="dxa" w:w="2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353016</w:t>
            </w:r>
          </w:p>
        </w:tc>
      </w:tr>
    </w:tbl>
    <w:p>
      <w:pPr>
        <w:pStyle w:val="null3"/>
        <w:jc w:val="both"/>
      </w:pPr>
      <w:r>
        <w:rPr>
          <w:sz w:val="24"/>
        </w:rPr>
        <w:t>（四）</w:t>
      </w:r>
      <w:r>
        <w:rPr>
          <w:sz w:val="24"/>
        </w:rPr>
        <w:t>肥料需要量</w:t>
      </w:r>
      <w:r>
        <w:rPr>
          <w:sz w:val="24"/>
        </w:rPr>
        <w:t xml:space="preserve"> </w:t>
      </w:r>
    </w:p>
    <w:p>
      <w:pPr>
        <w:pStyle w:val="null3"/>
        <w:ind w:firstLine="480"/>
        <w:jc w:val="both"/>
      </w:pPr>
      <w:r>
        <w:rPr>
          <w:sz w:val="24"/>
        </w:rPr>
        <w:t>本项目每穴施放基肥</w:t>
      </w:r>
      <w:r>
        <w:rPr>
          <w:sz w:val="24"/>
        </w:rPr>
        <w:t>（有机肥）</w:t>
      </w:r>
      <w:r>
        <w:rPr>
          <w:sz w:val="24"/>
        </w:rPr>
        <w:t>1</w:t>
      </w:r>
      <w:r>
        <w:rPr>
          <w:sz w:val="24"/>
        </w:rPr>
        <w:t>千克，抚育每穴追肥</w:t>
      </w:r>
      <w:r>
        <w:rPr>
          <w:sz w:val="24"/>
        </w:rPr>
        <w:t>（复合肥）</w:t>
      </w:r>
      <w:r>
        <w:rPr>
          <w:sz w:val="24"/>
        </w:rPr>
        <w:t>0.25</w:t>
      </w:r>
      <w:r>
        <w:rPr>
          <w:sz w:val="24"/>
        </w:rPr>
        <w:t>千克，共需肥料</w:t>
      </w:r>
      <w:r>
        <w:rPr>
          <w:sz w:val="24"/>
        </w:rPr>
        <w:t>383720</w:t>
      </w:r>
      <w:r>
        <w:rPr>
          <w:sz w:val="24"/>
        </w:rPr>
        <w:t>千克。其中基肥需</w:t>
      </w:r>
      <w:r>
        <w:rPr>
          <w:sz w:val="24"/>
        </w:rPr>
        <w:t>有机肥</w:t>
      </w:r>
      <w:r>
        <w:rPr>
          <w:sz w:val="24"/>
        </w:rPr>
        <w:t>306970</w:t>
      </w:r>
      <w:r>
        <w:rPr>
          <w:sz w:val="24"/>
        </w:rPr>
        <w:t>千克，抚育追肥需复合肥</w:t>
      </w:r>
      <w:r>
        <w:rPr>
          <w:sz w:val="24"/>
        </w:rPr>
        <w:t>76750</w:t>
      </w:r>
      <w:r>
        <w:rPr>
          <w:sz w:val="24"/>
        </w:rPr>
        <w:t>千克。</w:t>
      </w:r>
      <w:r>
        <w:rPr>
          <w:sz w:val="24"/>
        </w:rPr>
        <w:t>追肥</w:t>
      </w:r>
      <w:r>
        <w:rPr>
          <w:sz w:val="24"/>
        </w:rPr>
        <w:t>肥料种类为</w:t>
      </w:r>
      <w:r>
        <w:rPr>
          <w:sz w:val="24"/>
        </w:rPr>
        <w:t>NPK</w:t>
      </w:r>
      <w:r>
        <w:rPr>
          <w:sz w:val="24"/>
        </w:rPr>
        <w:t>总含量</w:t>
      </w:r>
      <w:r>
        <w:rPr>
          <w:sz w:val="24"/>
        </w:rPr>
        <w:t>≥</w:t>
      </w:r>
      <w:r>
        <w:rPr>
          <w:sz w:val="24"/>
        </w:rPr>
        <w:t>45</w:t>
      </w:r>
      <w:r>
        <w:rPr>
          <w:sz w:val="24"/>
        </w:rPr>
        <w:t>％复合肥，肥料需要量详见《肥料需要量表》。</w:t>
      </w:r>
    </w:p>
    <w:p>
      <w:pPr>
        <w:pStyle w:val="null3"/>
        <w:jc w:val="center"/>
      </w:pPr>
      <w:r>
        <w:rPr>
          <w:sz w:val="24"/>
          <w:b/>
        </w:rPr>
        <w:t>《</w:t>
      </w:r>
      <w:r>
        <w:rPr>
          <w:sz w:val="24"/>
          <w:b/>
        </w:rPr>
        <w:t>肥料需要量表</w:t>
      </w:r>
      <w:r>
        <w:rPr>
          <w:sz w:val="24"/>
          <w:b/>
        </w:rPr>
        <w:t>》</w:t>
      </w:r>
    </w:p>
    <w:p>
      <w:pPr>
        <w:pStyle w:val="null3"/>
        <w:jc w:val="center"/>
      </w:pPr>
      <w:r>
        <w:rPr>
          <w:sz w:val="21"/>
          <w:b/>
        </w:rPr>
        <w:t xml:space="preserve">                                                           </w:t>
      </w:r>
      <w:r>
        <w:rPr>
          <w:sz w:val="24"/>
        </w:rPr>
        <w:t xml:space="preserve">  </w:t>
      </w:r>
      <w:r>
        <w:rPr>
          <w:sz w:val="24"/>
        </w:rPr>
        <w:t>单位：千克</w:t>
      </w:r>
    </w:p>
    <w:tbl>
      <w:tblPr>
        <w:tblW w:w="0" w:type="auto"/>
        <w:tblBorders>
          <w:top w:val="none" w:color="000000" w:sz="4"/>
          <w:left w:val="none" w:color="000000" w:sz="4"/>
          <w:bottom w:val="none" w:color="000000" w:sz="4"/>
          <w:right w:val="none" w:color="000000" w:sz="4"/>
          <w:insideH w:val="none"/>
          <w:insideV w:val="none"/>
        </w:tblBorders>
      </w:tblPr>
      <w:tblGrid>
        <w:gridCol w:w="1838"/>
        <w:gridCol w:w="1961"/>
        <w:gridCol w:w="1820"/>
        <w:gridCol w:w="2568"/>
      </w:tblGrid>
      <w:tr>
        <w:tc>
          <w:tcPr>
            <w:tcW w:type="dxa" w:w="183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镇</w:t>
            </w:r>
          </w:p>
        </w:tc>
        <w:tc>
          <w:tcPr>
            <w:tcW w:type="dxa" w:w="6349"/>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种植和抚育阶段</w:t>
            </w:r>
          </w:p>
        </w:tc>
      </w:tr>
      <w:tr>
        <w:tc>
          <w:tcPr>
            <w:tcW w:type="dxa" w:w="1838"/>
            <w:vMerge/>
            <w:tcBorders>
              <w:top w:val="single" w:color="000000" w:sz="4"/>
              <w:left w:val="single" w:color="000000" w:sz="4"/>
              <w:bottom w:val="single" w:color="000000" w:sz="4"/>
              <w:right w:val="single" w:color="000000" w:sz="4"/>
            </w:tcBorders>
          </w:tcPr>
          <w:p/>
        </w:tc>
        <w:tc>
          <w:tcPr>
            <w:tcW w:type="dxa" w:w="1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小计</w:t>
            </w:r>
          </w:p>
        </w:tc>
        <w:tc>
          <w:tcPr>
            <w:tcW w:type="dxa" w:w="18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基肥（有机肥）</w:t>
            </w:r>
          </w:p>
        </w:tc>
        <w:tc>
          <w:tcPr>
            <w:tcW w:type="dxa" w:w="25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抚育追肥（复合肥）</w:t>
            </w:r>
          </w:p>
        </w:tc>
      </w:tr>
      <w:tr>
        <w:tc>
          <w:tcPr>
            <w:tcW w:type="dxa" w:w="1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合计</w:t>
            </w:r>
          </w:p>
        </w:tc>
        <w:tc>
          <w:tcPr>
            <w:tcW w:type="dxa" w:w="1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383720</w:t>
            </w:r>
          </w:p>
        </w:tc>
        <w:tc>
          <w:tcPr>
            <w:tcW w:type="dxa" w:w="1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306970</w:t>
            </w:r>
          </w:p>
        </w:tc>
        <w:tc>
          <w:tcPr>
            <w:tcW w:type="dxa" w:w="2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76750</w:t>
            </w:r>
          </w:p>
        </w:tc>
      </w:tr>
      <w:tr>
        <w:tc>
          <w:tcPr>
            <w:tcW w:type="dxa" w:w="1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凤村镇</w:t>
            </w:r>
          </w:p>
        </w:tc>
        <w:tc>
          <w:tcPr>
            <w:tcW w:type="dxa" w:w="1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40091</w:t>
            </w:r>
          </w:p>
        </w:tc>
        <w:tc>
          <w:tcPr>
            <w:tcW w:type="dxa" w:w="1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32072</w:t>
            </w:r>
          </w:p>
        </w:tc>
        <w:tc>
          <w:tcPr>
            <w:tcW w:type="dxa" w:w="2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8019</w:t>
            </w:r>
          </w:p>
        </w:tc>
      </w:tr>
      <w:tr>
        <w:tc>
          <w:tcPr>
            <w:tcW w:type="dxa" w:w="1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官圩镇</w:t>
            </w:r>
          </w:p>
        </w:tc>
        <w:tc>
          <w:tcPr>
            <w:tcW w:type="dxa" w:w="1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76976</w:t>
            </w:r>
          </w:p>
        </w:tc>
        <w:tc>
          <w:tcPr>
            <w:tcW w:type="dxa" w:w="1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61580</w:t>
            </w:r>
          </w:p>
        </w:tc>
        <w:tc>
          <w:tcPr>
            <w:tcW w:type="dxa" w:w="2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15396</w:t>
            </w:r>
          </w:p>
        </w:tc>
      </w:tr>
      <w:tr>
        <w:tc>
          <w:tcPr>
            <w:tcW w:type="dxa" w:w="1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回龙镇</w:t>
            </w:r>
          </w:p>
        </w:tc>
        <w:tc>
          <w:tcPr>
            <w:tcW w:type="dxa" w:w="1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45092</w:t>
            </w:r>
          </w:p>
        </w:tc>
        <w:tc>
          <w:tcPr>
            <w:tcW w:type="dxa" w:w="1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36072</w:t>
            </w:r>
          </w:p>
        </w:tc>
        <w:tc>
          <w:tcPr>
            <w:tcW w:type="dxa" w:w="2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9020</w:t>
            </w:r>
          </w:p>
        </w:tc>
      </w:tr>
      <w:tr>
        <w:tc>
          <w:tcPr>
            <w:tcW w:type="dxa" w:w="1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马圩镇</w:t>
            </w:r>
          </w:p>
        </w:tc>
        <w:tc>
          <w:tcPr>
            <w:tcW w:type="dxa" w:w="1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32855</w:t>
            </w:r>
          </w:p>
        </w:tc>
        <w:tc>
          <w:tcPr>
            <w:tcW w:type="dxa" w:w="1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26284</w:t>
            </w:r>
          </w:p>
        </w:tc>
        <w:tc>
          <w:tcPr>
            <w:tcW w:type="dxa" w:w="2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6571</w:t>
            </w:r>
          </w:p>
        </w:tc>
      </w:tr>
      <w:tr>
        <w:tc>
          <w:tcPr>
            <w:tcW w:type="dxa" w:w="1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莫村镇</w:t>
            </w:r>
          </w:p>
        </w:tc>
        <w:tc>
          <w:tcPr>
            <w:tcW w:type="dxa" w:w="1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83945</w:t>
            </w:r>
          </w:p>
        </w:tc>
        <w:tc>
          <w:tcPr>
            <w:tcW w:type="dxa" w:w="1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67155</w:t>
            </w:r>
          </w:p>
        </w:tc>
        <w:tc>
          <w:tcPr>
            <w:tcW w:type="dxa" w:w="2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16790</w:t>
            </w:r>
          </w:p>
        </w:tc>
      </w:tr>
      <w:tr>
        <w:tc>
          <w:tcPr>
            <w:tcW w:type="dxa" w:w="1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武垄镇</w:t>
            </w:r>
          </w:p>
        </w:tc>
        <w:tc>
          <w:tcPr>
            <w:tcW w:type="dxa" w:w="1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5579</w:t>
            </w:r>
          </w:p>
        </w:tc>
        <w:tc>
          <w:tcPr>
            <w:tcW w:type="dxa" w:w="1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4463</w:t>
            </w:r>
          </w:p>
        </w:tc>
        <w:tc>
          <w:tcPr>
            <w:tcW w:type="dxa" w:w="2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1116</w:t>
            </w:r>
          </w:p>
        </w:tc>
      </w:tr>
      <w:tr>
        <w:tc>
          <w:tcPr>
            <w:tcW w:type="dxa" w:w="1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新圩镇</w:t>
            </w:r>
          </w:p>
        </w:tc>
        <w:tc>
          <w:tcPr>
            <w:tcW w:type="dxa" w:w="1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13973</w:t>
            </w:r>
          </w:p>
        </w:tc>
        <w:tc>
          <w:tcPr>
            <w:tcW w:type="dxa" w:w="1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11178</w:t>
            </w:r>
          </w:p>
        </w:tc>
        <w:tc>
          <w:tcPr>
            <w:tcW w:type="dxa" w:w="2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2795</w:t>
            </w:r>
          </w:p>
        </w:tc>
      </w:tr>
      <w:tr>
        <w:tc>
          <w:tcPr>
            <w:tcW w:type="dxa" w:w="1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悦城镇</w:t>
            </w:r>
          </w:p>
        </w:tc>
        <w:tc>
          <w:tcPr>
            <w:tcW w:type="dxa" w:w="1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85209</w:t>
            </w:r>
          </w:p>
        </w:tc>
        <w:tc>
          <w:tcPr>
            <w:tcW w:type="dxa" w:w="1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68166</w:t>
            </w:r>
          </w:p>
        </w:tc>
        <w:tc>
          <w:tcPr>
            <w:tcW w:type="dxa" w:w="2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17043</w:t>
            </w:r>
          </w:p>
        </w:tc>
      </w:tr>
    </w:tbl>
    <w:p>
      <w:pPr>
        <w:pStyle w:val="null3"/>
        <w:jc w:val="both"/>
      </w:pPr>
      <w:r>
        <w:rPr>
          <w:sz w:val="24"/>
          <w:b/>
        </w:rPr>
        <w:t>三、作业类型</w:t>
      </w:r>
    </w:p>
    <w:p>
      <w:pPr>
        <w:pStyle w:val="null3"/>
        <w:ind w:firstLine="420"/>
        <w:jc w:val="both"/>
      </w:pPr>
      <w:r>
        <w:rPr>
          <w:sz w:val="24"/>
        </w:rPr>
        <w:t>本项目设计</w:t>
      </w:r>
      <w:r>
        <w:rPr>
          <w:sz w:val="24"/>
        </w:rPr>
        <w:t>45</w:t>
      </w:r>
      <w:r>
        <w:rPr>
          <w:sz w:val="24"/>
        </w:rPr>
        <w:t>个作业小班，作业设计类型分别为人工造林、更新造林、套种。项目总面积为</w:t>
      </w:r>
      <w:r>
        <w:rPr>
          <w:sz w:val="24"/>
        </w:rPr>
        <w:t>4500.0</w:t>
      </w:r>
      <w:r>
        <w:rPr>
          <w:sz w:val="24"/>
        </w:rPr>
        <w:t>亩，其中人工造林</w:t>
      </w:r>
      <w:r>
        <w:rPr>
          <w:sz w:val="24"/>
        </w:rPr>
        <w:t>301.0</w:t>
      </w:r>
      <w:r>
        <w:rPr>
          <w:sz w:val="24"/>
        </w:rPr>
        <w:t>亩，更新造林面积为</w:t>
      </w:r>
      <w:r>
        <w:rPr>
          <w:sz w:val="24"/>
        </w:rPr>
        <w:t>2752.8</w:t>
      </w:r>
      <w:r>
        <w:rPr>
          <w:sz w:val="24"/>
        </w:rPr>
        <w:t>亩，套种面积为</w:t>
      </w:r>
      <w:r>
        <w:rPr>
          <w:sz w:val="24"/>
        </w:rPr>
        <w:t>1446.2</w:t>
      </w:r>
      <w:r>
        <w:rPr>
          <w:sz w:val="24"/>
        </w:rPr>
        <w:t>亩。</w:t>
      </w:r>
    </w:p>
    <w:p>
      <w:pPr>
        <w:pStyle w:val="null3"/>
        <w:ind w:firstLine="420"/>
        <w:jc w:val="both"/>
      </w:pPr>
      <w:r>
        <w:rPr>
          <w:sz w:val="24"/>
        </w:rPr>
        <w:t>（</w:t>
      </w:r>
      <w:r>
        <w:rPr>
          <w:sz w:val="24"/>
        </w:rPr>
        <w:t>一</w:t>
      </w:r>
      <w:r>
        <w:rPr>
          <w:sz w:val="24"/>
        </w:rPr>
        <w:t>）</w:t>
      </w:r>
      <w:r>
        <w:rPr>
          <w:sz w:val="24"/>
        </w:rPr>
        <w:t>人工造林</w:t>
      </w:r>
    </w:p>
    <w:p>
      <w:pPr>
        <w:pStyle w:val="null3"/>
        <w:ind w:firstLine="420"/>
        <w:jc w:val="both"/>
      </w:pPr>
      <w:r>
        <w:rPr>
          <w:sz w:val="24"/>
        </w:rPr>
        <w:t>在疏林地上开展人工造林，造林密度</w:t>
      </w:r>
      <w:r>
        <w:rPr>
          <w:sz w:val="24"/>
        </w:rPr>
        <w:t>74</w:t>
      </w:r>
      <w:r>
        <w:rPr>
          <w:sz w:val="24"/>
        </w:rPr>
        <w:t>株</w:t>
      </w:r>
      <w:r>
        <w:rPr>
          <w:sz w:val="24"/>
        </w:rPr>
        <w:t>/</w:t>
      </w:r>
      <w:r>
        <w:rPr>
          <w:sz w:val="24"/>
        </w:rPr>
        <w:t>亩。面积为</w:t>
      </w:r>
      <w:r>
        <w:rPr>
          <w:sz w:val="24"/>
        </w:rPr>
        <w:t>301.0</w:t>
      </w:r>
      <w:r>
        <w:rPr>
          <w:sz w:val="24"/>
        </w:rPr>
        <w:t>亩。</w:t>
      </w:r>
    </w:p>
    <w:p>
      <w:pPr>
        <w:pStyle w:val="null3"/>
        <w:ind w:firstLine="420"/>
        <w:jc w:val="both"/>
      </w:pPr>
      <w:r>
        <w:rPr>
          <w:sz w:val="24"/>
        </w:rPr>
        <w:t>（</w:t>
      </w:r>
      <w:r>
        <w:rPr>
          <w:sz w:val="24"/>
        </w:rPr>
        <w:t>二</w:t>
      </w:r>
      <w:r>
        <w:rPr>
          <w:sz w:val="24"/>
        </w:rPr>
        <w:t>）</w:t>
      </w:r>
      <w:r>
        <w:rPr>
          <w:sz w:val="24"/>
        </w:rPr>
        <w:t>更新造林</w:t>
      </w:r>
    </w:p>
    <w:p>
      <w:pPr>
        <w:pStyle w:val="null3"/>
        <w:ind w:firstLine="420"/>
        <w:jc w:val="both"/>
      </w:pPr>
      <w:r>
        <w:rPr>
          <w:sz w:val="24"/>
        </w:rPr>
        <w:t>在采伐迹地上通过人工措施，造林密度</w:t>
      </w:r>
      <w:r>
        <w:rPr>
          <w:sz w:val="24"/>
        </w:rPr>
        <w:t>74</w:t>
      </w:r>
      <w:r>
        <w:rPr>
          <w:sz w:val="24"/>
        </w:rPr>
        <w:t>株</w:t>
      </w:r>
      <w:r>
        <w:rPr>
          <w:sz w:val="24"/>
        </w:rPr>
        <w:t>/</w:t>
      </w:r>
      <w:r>
        <w:rPr>
          <w:sz w:val="24"/>
        </w:rPr>
        <w:t>亩。面积为</w:t>
      </w:r>
      <w:r>
        <w:rPr>
          <w:sz w:val="24"/>
        </w:rPr>
        <w:t>2752.8</w:t>
      </w:r>
      <w:r>
        <w:rPr>
          <w:sz w:val="24"/>
        </w:rPr>
        <w:t>亩。</w:t>
      </w:r>
    </w:p>
    <w:p>
      <w:pPr>
        <w:pStyle w:val="null3"/>
        <w:ind w:firstLine="420"/>
        <w:jc w:val="both"/>
      </w:pPr>
      <w:r>
        <w:rPr>
          <w:sz w:val="24"/>
        </w:rPr>
        <w:t>（</w:t>
      </w:r>
      <w:r>
        <w:rPr>
          <w:sz w:val="24"/>
        </w:rPr>
        <w:t>三</w:t>
      </w:r>
      <w:r>
        <w:rPr>
          <w:sz w:val="24"/>
        </w:rPr>
        <w:t>）</w:t>
      </w:r>
      <w:r>
        <w:rPr>
          <w:sz w:val="24"/>
        </w:rPr>
        <w:t>套种</w:t>
      </w:r>
    </w:p>
    <w:p>
      <w:pPr>
        <w:pStyle w:val="null3"/>
        <w:ind w:firstLine="420"/>
        <w:jc w:val="both"/>
      </w:pPr>
      <w:r>
        <w:rPr>
          <w:sz w:val="24"/>
        </w:rPr>
        <w:t>在郁闭度小于</w:t>
      </w:r>
      <w:r>
        <w:rPr>
          <w:sz w:val="24"/>
        </w:rPr>
        <w:t>0.4</w:t>
      </w:r>
      <w:r>
        <w:rPr>
          <w:sz w:val="24"/>
        </w:rPr>
        <w:t>的乔木林中套种油茶，造林密度</w:t>
      </w:r>
      <w:r>
        <w:rPr>
          <w:sz w:val="24"/>
        </w:rPr>
        <w:t>56</w:t>
      </w:r>
      <w:r>
        <w:rPr>
          <w:sz w:val="24"/>
        </w:rPr>
        <w:t>株</w:t>
      </w:r>
      <w:r>
        <w:rPr>
          <w:sz w:val="24"/>
        </w:rPr>
        <w:t>/</w:t>
      </w:r>
      <w:r>
        <w:rPr>
          <w:sz w:val="24"/>
        </w:rPr>
        <w:t>亩。面积为</w:t>
      </w:r>
      <w:r>
        <w:rPr>
          <w:sz w:val="24"/>
        </w:rPr>
        <w:t>1446.2</w:t>
      </w:r>
      <w:r>
        <w:rPr>
          <w:sz w:val="24"/>
        </w:rPr>
        <w:t>亩。</w:t>
      </w:r>
    </w:p>
    <w:p>
      <w:pPr>
        <w:pStyle w:val="null3"/>
      </w:pPr>
      <w:r>
        <w:rPr/>
        <w:t>采购包1（德庆县2025年森林质量精准提升项目（新造油茶））</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自签订合同之日起至2025年12月31日前完成。质保期以省核验通过时间为准（具体以合同签订时间为准）。</w:t>
            </w:r>
          </w:p>
        </w:tc>
      </w:tr>
      <w:tr>
        <w:tc>
          <w:tcPr>
            <w:tcW w:type="dxa" w:w="4153"/>
          </w:tcPr>
          <w:p>
            <w:pPr>
              <w:pStyle w:val="null3"/>
            </w:pPr>
            <w:r>
              <w:rPr/>
              <w:t>标的提供的地点</w:t>
            </w:r>
          </w:p>
        </w:tc>
        <w:tc>
          <w:tcPr>
            <w:tcW w:type="dxa" w:w="4153"/>
          </w:tcPr>
          <w:p>
            <w:pPr>
              <w:pStyle w:val="null3"/>
            </w:pPr>
            <w:r>
              <w:rPr/>
              <w:t>采购内容要求的地点。</w:t>
            </w:r>
          </w:p>
        </w:tc>
      </w:tr>
      <w:tr>
        <w:tc>
          <w:tcPr>
            <w:tcW w:type="dxa" w:w="4153"/>
          </w:tcPr>
          <w:p>
            <w:pPr>
              <w:pStyle w:val="null3"/>
            </w:pPr>
            <w:r>
              <w:rPr/>
              <w:t>付款方式</w:t>
            </w:r>
          </w:p>
        </w:tc>
        <w:tc>
          <w:tcPr>
            <w:tcW w:type="dxa" w:w="4153"/>
          </w:tcPr>
          <w:p>
            <w:pPr>
              <w:pStyle w:val="null3"/>
            </w:pPr>
            <w:r>
              <w:rPr/>
              <w:t>1期：支付比例30%,签订政府采购合同后，支付合同价的30%作为项目预付款；</w:t>
            </w:r>
          </w:p>
          <w:p>
            <w:pPr>
              <w:pStyle w:val="null3"/>
            </w:pPr>
            <w:r>
              <w:rPr/>
              <w:t>2期：支付比例30%,按项目施工进度支付进度款；</w:t>
            </w:r>
          </w:p>
          <w:p>
            <w:pPr>
              <w:pStyle w:val="null3"/>
            </w:pPr>
            <w:r>
              <w:rPr/>
              <w:t>3期：支付比例40%,经组织竣工验收合格后支付清余下款项。</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依据《广东省林业局造林管理办法》（粤林规〔2022〕1号）检查验收规定，结合批复文件、招投标文件、施工合同、变更函、监理报告根据文本陈述的技术措施等进行验收。检查验收的内容包括核实造林面积、造林树种、种苗质量合格率、保留株数、造林成活率、林木长势、抚育管护率等指标完成情况。具体验收标准如下： 1、造林面积 采用遥感判读、地形图勾绘、无人机测绘等方式，现场实地全面核查，造林面积达到作业设计面积，造林面积核实率应达100%。 2、造林当年检查合格标准 （1）当年造林成活率达90%(含)以上。 （2）按照造林合同约定标准，林木生长良好的判定为合格。</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投标要求</w:t>
            </w:r>
          </w:p>
        </w:tc>
        <w:tc>
          <w:tcPr>
            <w:tcW w:type="dxa" w:w="2076"/>
          </w:tcPr>
          <w:p>
            <w:pPr>
              <w:pStyle w:val="null3"/>
              <w:jc w:val="left"/>
            </w:pPr>
            <w:r>
              <w:rPr/>
              <w:t>投标人须针对本项目制定的应急处置提供方案(包括但不限于:各种情况的分类应急预案、应急措施、人员安排及实施步骤等)。</w:t>
            </w:r>
          </w:p>
        </w:tc>
      </w:tr>
      <w:tr>
        <w:tc>
          <w:tcPr>
            <w:tcW w:type="dxa" w:w="2076"/>
          </w:tcPr>
          <w:p/>
        </w:tc>
        <w:tc>
          <w:tcPr>
            <w:tcW w:type="dxa" w:w="2076"/>
          </w:tcPr>
          <w:p>
            <w:pPr>
              <w:pStyle w:val="null3"/>
              <w:jc w:val="center"/>
            </w:pPr>
            <w:r>
              <w:rPr/>
              <w:t>2</w:t>
            </w:r>
          </w:p>
        </w:tc>
        <w:tc>
          <w:tcPr>
            <w:tcW w:type="dxa" w:w="2076"/>
          </w:tcPr>
          <w:p>
            <w:pPr>
              <w:pStyle w:val="null3"/>
              <w:jc w:val="left"/>
            </w:pPr>
            <w:r>
              <w:rPr/>
              <w:t>其他要求</w:t>
            </w:r>
          </w:p>
        </w:tc>
        <w:tc>
          <w:tcPr>
            <w:tcW w:type="dxa" w:w="2076"/>
          </w:tcPr>
          <w:p>
            <w:pPr>
              <w:pStyle w:val="null3"/>
              <w:jc w:val="left"/>
            </w:pPr>
            <w:r>
              <w:rPr/>
              <w:t>1.成交供应商按时按质按量完成工作任务，项目不能按时按质按量完工或虽能按时完工，但完成指标要求的合格率小于设计要求的90﹪，将视成交供应商无能力履行本合同，采购人有权终止合同，且一切费用由成交供应商自负，采购人不结付任何费用。 2.成交供应商完工经验收合格后，根据验收报告提供书面付款申请，采购人收到成交供应商付款申请、发票等申请资料后，按照当地财政部门的有关规定和合同约定15天内支付款项。</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造林服务</w:t>
            </w:r>
          </w:p>
        </w:tc>
        <w:tc>
          <w:tcPr>
            <w:tcW w:type="dxa" w:w="933"/>
          </w:tcPr>
          <w:p>
            <w:pPr>
              <w:pStyle w:val="null3"/>
              <w:jc w:val="left"/>
            </w:pPr>
            <w:r>
              <w:rPr/>
              <w:t>德庆县2025年森林质量精准提升项目（新造油茶）</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4,172,600.00</w:t>
            </w:r>
          </w:p>
        </w:tc>
        <w:tc>
          <w:tcPr>
            <w:tcW w:type="dxa" w:w="933"/>
          </w:tcPr>
          <w:p>
            <w:pPr>
              <w:pStyle w:val="null3"/>
              <w:jc w:val="right"/>
            </w:pPr>
            <w:r>
              <w:rPr/>
              <w:t>4,172,600.00</w:t>
            </w:r>
          </w:p>
        </w:tc>
        <w:tc>
          <w:tcPr>
            <w:tcW w:type="dxa" w:w="840"/>
          </w:tcPr>
          <w:p>
            <w:pPr>
              <w:pStyle w:val="null3"/>
            </w:pPr>
            <w:r>
              <w:rPr/>
              <w:t>农、林、牧、渔业</w:t>
            </w:r>
          </w:p>
        </w:tc>
        <w:tc>
          <w:tcPr>
            <w:tcW w:type="dxa" w:w="933"/>
          </w:tcPr>
          <w:p>
            <w:pPr>
              <w:pStyle w:val="null3"/>
            </w:pPr>
            <w:r>
              <w:rPr/>
              <w:t>详见附表一</w:t>
            </w:r>
          </w:p>
        </w:tc>
      </w:tr>
    </w:tbl>
    <w:p>
      <w:pPr>
        <w:pStyle w:val="null3"/>
      </w:pPr>
      <w:r>
        <w:rPr>
          <w:b/>
        </w:rPr>
        <w:t>附表</w:t>
      </w:r>
      <w:r>
        <w:rPr>
          <w:b/>
        </w:rPr>
        <w:t>一</w:t>
      </w:r>
      <w:r>
        <w:rPr>
          <w:b/>
        </w:rPr>
        <w:t>：</w:t>
      </w:r>
      <w:r>
        <w:rPr>
          <w:b/>
        </w:rPr>
        <w:t>德庆县2025年森林质量精准提升项目（新造油茶）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4"/>
              </w:rPr>
              <w:t>（</w:t>
            </w:r>
            <w:r>
              <w:rPr>
                <w:sz w:val="24"/>
              </w:rPr>
              <w:t>一</w:t>
            </w:r>
            <w:r>
              <w:rPr>
                <w:sz w:val="24"/>
              </w:rPr>
              <w:t>）</w:t>
            </w:r>
            <w:r>
              <w:rPr>
                <w:sz w:val="24"/>
              </w:rPr>
              <w:t>林地清理</w:t>
            </w:r>
          </w:p>
          <w:p>
            <w:pPr>
              <w:pStyle w:val="null3"/>
              <w:ind w:firstLine="480"/>
              <w:jc w:val="left"/>
            </w:pPr>
            <w:r>
              <w:rPr>
                <w:sz w:val="24"/>
              </w:rPr>
              <w:t>采用带状割杂的方式清理林地，草（灌）桩高度不得高于</w:t>
            </w:r>
            <w:r>
              <w:rPr>
                <w:sz w:val="24"/>
              </w:rPr>
              <w:t>10cm</w:t>
            </w:r>
            <w:r>
              <w:rPr>
                <w:sz w:val="24"/>
              </w:rPr>
              <w:t>，带宽</w:t>
            </w:r>
            <w:r>
              <w:rPr>
                <w:sz w:val="24"/>
              </w:rPr>
              <w:t>1.2m</w:t>
            </w:r>
            <w:r>
              <w:rPr>
                <w:sz w:val="24"/>
              </w:rPr>
              <w:t>，清理的杂草块状堆沤，以增加土壤腐殖质，提高土壤肥力。加强对造林地原生散生乔木和灌木的保护保留，打穴的位置刚好有乔木或灌木时，应将位置前移或后移。</w:t>
            </w:r>
          </w:p>
          <w:p>
            <w:pPr>
              <w:pStyle w:val="null3"/>
              <w:jc w:val="left"/>
            </w:pPr>
            <w:r>
              <w:rPr>
                <w:sz w:val="24"/>
              </w:rPr>
              <w:t>对造林地中的极小种群、珍稀濒危动植物保护小区不得进行造林整地，并保留适当宽度的缓冲保护带。</w:t>
            </w:r>
          </w:p>
          <w:p>
            <w:pPr>
              <w:pStyle w:val="null3"/>
              <w:jc w:val="left"/>
            </w:pPr>
            <w:r>
              <w:rPr>
                <w:sz w:val="24"/>
              </w:rPr>
              <w:t>（</w:t>
            </w:r>
            <w:r>
              <w:rPr>
                <w:sz w:val="24"/>
              </w:rPr>
              <w:t>二</w:t>
            </w:r>
            <w:r>
              <w:rPr>
                <w:sz w:val="24"/>
              </w:rPr>
              <w:t>）</w:t>
            </w:r>
            <w:r>
              <w:rPr>
                <w:sz w:val="24"/>
              </w:rPr>
              <w:t>桉树除萌</w:t>
            </w:r>
          </w:p>
          <w:p>
            <w:pPr>
              <w:pStyle w:val="null3"/>
              <w:ind w:firstLine="480"/>
              <w:jc w:val="left"/>
            </w:pPr>
            <w:r>
              <w:rPr>
                <w:sz w:val="24"/>
              </w:rPr>
              <w:t>此工序仅针对桉树采伐地。为满足造林地种植条件，保障新种植的苗木不受桉树萌芽苗影响，具体方法是：清除萌芽条，要求伐根</w:t>
            </w:r>
            <w:r>
              <w:rPr>
                <w:sz w:val="24"/>
              </w:rPr>
              <w:t>≤</w:t>
            </w:r>
            <w:r>
              <w:rPr>
                <w:sz w:val="24"/>
              </w:rPr>
              <w:t>10cm</w:t>
            </w:r>
            <w:r>
              <w:rPr>
                <w:sz w:val="24"/>
              </w:rPr>
              <w:t>，在砍伐后的桉树头切口未干之前，用</w:t>
            </w:r>
            <w:r>
              <w:rPr>
                <w:sz w:val="24"/>
              </w:rPr>
              <w:t>41%</w:t>
            </w:r>
            <w:r>
              <w:rPr>
                <w:sz w:val="24"/>
              </w:rPr>
              <w:t>浓度的草甘膦铵盐药剂按药、水比例</w:t>
            </w:r>
            <w:r>
              <w:rPr>
                <w:sz w:val="24"/>
              </w:rPr>
              <w:t>1</w:t>
            </w:r>
            <w:r>
              <w:rPr>
                <w:sz w:val="24"/>
              </w:rPr>
              <w:t>：</w:t>
            </w:r>
            <w:r>
              <w:rPr>
                <w:sz w:val="24"/>
              </w:rPr>
              <w:t>2</w:t>
            </w:r>
            <w:r>
              <w:rPr>
                <w:sz w:val="24"/>
              </w:rPr>
              <w:t>兑水喷洒桉树伐桩，每个桉树伐桩喷洒药水</w:t>
            </w:r>
            <w:r>
              <w:rPr>
                <w:sz w:val="24"/>
              </w:rPr>
              <w:t>73g</w:t>
            </w:r>
            <w:r>
              <w:rPr>
                <w:sz w:val="24"/>
              </w:rPr>
              <w:t>，使桉树不再萌发。施工必须选择晴天进行，以达到最佳的效果。本项目桉树除萌小班每亩约</w:t>
            </w:r>
            <w:r>
              <w:rPr>
                <w:sz w:val="24"/>
              </w:rPr>
              <w:t>20</w:t>
            </w:r>
            <w:r>
              <w:rPr>
                <w:sz w:val="24"/>
              </w:rPr>
              <w:t>株桉树萌芽，平均每亩约需</w:t>
            </w:r>
            <w:r>
              <w:rPr>
                <w:sz w:val="24"/>
              </w:rPr>
              <w:t>486.6</w:t>
            </w:r>
            <w:r>
              <w:rPr>
                <w:sz w:val="24"/>
              </w:rPr>
              <w:t>克</w:t>
            </w:r>
            <w:r>
              <w:rPr>
                <w:sz w:val="24"/>
              </w:rPr>
              <w:t>41%</w:t>
            </w:r>
            <w:r>
              <w:rPr>
                <w:sz w:val="24"/>
              </w:rPr>
              <w:t>浓度的草甘膦铵盐药剂。</w:t>
            </w:r>
          </w:p>
          <w:p>
            <w:pPr>
              <w:pStyle w:val="null3"/>
              <w:jc w:val="left"/>
            </w:pPr>
            <w:r>
              <w:rPr>
                <w:sz w:val="24"/>
              </w:rPr>
              <w:t>（</w:t>
            </w:r>
            <w:r>
              <w:rPr>
                <w:sz w:val="24"/>
              </w:rPr>
              <w:t>三</w:t>
            </w:r>
            <w:r>
              <w:rPr>
                <w:sz w:val="24"/>
              </w:rPr>
              <w:t>）</w:t>
            </w:r>
            <w:r>
              <w:rPr>
                <w:sz w:val="24"/>
              </w:rPr>
              <w:t>透光清杂</w:t>
            </w:r>
          </w:p>
          <w:p>
            <w:pPr>
              <w:pStyle w:val="null3"/>
              <w:ind w:firstLine="480"/>
              <w:jc w:val="left"/>
            </w:pPr>
            <w:r>
              <w:rPr>
                <w:sz w:val="24"/>
              </w:rPr>
              <w:t>针对造林密度为</w:t>
            </w:r>
            <w:r>
              <w:rPr>
                <w:sz w:val="24"/>
              </w:rPr>
              <w:t>56</w:t>
            </w:r>
            <w:r>
              <w:rPr>
                <w:sz w:val="24"/>
              </w:rPr>
              <w:t>株</w:t>
            </w:r>
            <w:r>
              <w:rPr>
                <w:sz w:val="24"/>
              </w:rPr>
              <w:t>/</w:t>
            </w:r>
            <w:r>
              <w:rPr>
                <w:sz w:val="24"/>
              </w:rPr>
              <w:t>亩的部分作业小班，增加透光清杂措施，采用机械和人工结合的方式，对定穴点为中心</w:t>
            </w:r>
            <w:r>
              <w:rPr>
                <w:sz w:val="24"/>
              </w:rPr>
              <w:t>1.5</w:t>
            </w:r>
            <w:r>
              <w:rPr>
                <w:sz w:val="24"/>
              </w:rPr>
              <w:t>米范围内正上方遮光物进行清理，清除杂灌、藤、高大的草本植物、大灌木（胸径≤</w:t>
            </w:r>
            <w:r>
              <w:rPr>
                <w:sz w:val="24"/>
              </w:rPr>
              <w:t>5</w:t>
            </w:r>
            <w:r>
              <w:rPr>
                <w:sz w:val="24"/>
              </w:rPr>
              <w:t>厘米）等，腾出补植所需的林中空地和生长空间。清除的剩余物均匀平铺于林地内，以便其自然腐烂和释放肥效。</w:t>
            </w:r>
          </w:p>
          <w:p>
            <w:pPr>
              <w:pStyle w:val="null3"/>
              <w:jc w:val="left"/>
            </w:pPr>
            <w:r>
              <w:rPr>
                <w:sz w:val="24"/>
              </w:rPr>
              <w:t>（</w:t>
            </w:r>
            <w:r>
              <w:rPr>
                <w:sz w:val="24"/>
              </w:rPr>
              <w:t>四</w:t>
            </w:r>
            <w:r>
              <w:rPr>
                <w:sz w:val="24"/>
              </w:rPr>
              <w:t>）</w:t>
            </w:r>
            <w:r>
              <w:rPr>
                <w:sz w:val="24"/>
              </w:rPr>
              <w:t>整地挖穴</w:t>
            </w:r>
          </w:p>
          <w:p>
            <w:pPr>
              <w:pStyle w:val="null3"/>
              <w:ind w:firstLine="480"/>
              <w:jc w:val="left"/>
            </w:pPr>
            <w:r>
              <w:rPr>
                <w:sz w:val="24"/>
              </w:rPr>
              <w:t>本工程要求植穴大小能满足苗木生长，以提高苗木成活率，确保造林成效。本项目植穴规格为</w:t>
            </w:r>
            <w:r>
              <w:rPr>
                <w:sz w:val="24"/>
              </w:rPr>
              <w:t>50</w:t>
            </w:r>
            <w:r>
              <w:rPr>
                <w:sz w:val="24"/>
              </w:rPr>
              <w:t>×</w:t>
            </w:r>
            <w:r>
              <w:rPr>
                <w:sz w:val="24"/>
              </w:rPr>
              <w:t>50</w:t>
            </w:r>
            <w:r>
              <w:rPr>
                <w:sz w:val="24"/>
              </w:rPr>
              <w:t>×</w:t>
            </w:r>
            <w:r>
              <w:rPr>
                <w:sz w:val="24"/>
              </w:rPr>
              <w:t>40cm</w:t>
            </w:r>
            <w:r>
              <w:rPr>
                <w:sz w:val="24"/>
              </w:rPr>
              <w:t>。整地应采用明穴方式，让穴土有一段风化、熟化时间，有利于清除土壤中的病虫害和提高土壤肥力。</w:t>
            </w:r>
          </w:p>
          <w:p>
            <w:pPr>
              <w:pStyle w:val="null3"/>
              <w:jc w:val="left"/>
            </w:pPr>
            <w:r>
              <w:rPr>
                <w:sz w:val="24"/>
              </w:rPr>
              <w:t>植穴原则上按照水平布设，上、下两行植穴呈</w:t>
            </w:r>
            <w:r>
              <w:rPr>
                <w:sz w:val="24"/>
              </w:rPr>
              <w:t>“品”字形分布，部分地段可根据实际情况（如避开原有树木、石头等）局部位移，采取不规则式随机布设，不强调严格的横直成行，但要求保证单位面积密度和适当的株行距。</w:t>
            </w:r>
          </w:p>
          <w:p>
            <w:pPr>
              <w:pStyle w:val="null3"/>
              <w:jc w:val="left"/>
            </w:pPr>
            <w:r>
              <w:rPr>
                <w:sz w:val="24"/>
              </w:rPr>
              <w:t>（</w:t>
            </w:r>
            <w:r>
              <w:rPr>
                <w:sz w:val="24"/>
              </w:rPr>
              <w:t>五</w:t>
            </w:r>
            <w:r>
              <w:rPr>
                <w:sz w:val="24"/>
              </w:rPr>
              <w:t>）</w:t>
            </w:r>
            <w:r>
              <w:rPr>
                <w:sz w:val="24"/>
              </w:rPr>
              <w:t>施基肥与回穴土</w:t>
            </w:r>
          </w:p>
          <w:p>
            <w:pPr>
              <w:pStyle w:val="null3"/>
              <w:ind w:firstLine="480"/>
              <w:jc w:val="left"/>
            </w:pPr>
            <w:r>
              <w:rPr>
                <w:sz w:val="24"/>
              </w:rPr>
              <w:t>在造林前一个月即要回穴土，回土时先把表土放入穴底，然后回心土两成，同时施放有机肥</w:t>
            </w:r>
            <w:r>
              <w:rPr>
                <w:sz w:val="24"/>
              </w:rPr>
              <w:t>1kg/</w:t>
            </w:r>
            <w:r>
              <w:rPr>
                <w:sz w:val="24"/>
              </w:rPr>
              <w:t>穴并充分混匀，再将心土回至八成，剩余部分在植苗时回填。施放基肥数量可根据造林地的立地条件作适当调整。施肥时应注意与穴土充分混匀后放入穴内，防止肥料受雨水冲刷流失，造成碳泄漏和水体污染。</w:t>
            </w:r>
          </w:p>
          <w:p>
            <w:pPr>
              <w:pStyle w:val="null3"/>
              <w:jc w:val="left"/>
            </w:pPr>
            <w:r>
              <w:rPr>
                <w:sz w:val="24"/>
              </w:rPr>
              <w:t>（</w:t>
            </w:r>
            <w:r>
              <w:rPr>
                <w:sz w:val="24"/>
              </w:rPr>
              <w:t>六</w:t>
            </w:r>
            <w:r>
              <w:rPr>
                <w:sz w:val="24"/>
              </w:rPr>
              <w:t>）</w:t>
            </w:r>
            <w:r>
              <w:rPr>
                <w:sz w:val="24"/>
              </w:rPr>
              <w:t>造林密度</w:t>
            </w:r>
          </w:p>
          <w:p>
            <w:pPr>
              <w:pStyle w:val="null3"/>
              <w:ind w:firstLine="480"/>
              <w:jc w:val="left"/>
            </w:pPr>
            <w:r>
              <w:rPr>
                <w:sz w:val="24"/>
              </w:rPr>
              <w:t>根据培育目标、立地条件、树种科学确定造林密度。结合现场实际，本项目造林密度有</w:t>
            </w:r>
            <w:r>
              <w:rPr>
                <w:sz w:val="24"/>
              </w:rPr>
              <w:t>2</w:t>
            </w:r>
            <w:r>
              <w:rPr>
                <w:sz w:val="24"/>
              </w:rPr>
              <w:t>种：</w:t>
            </w:r>
          </w:p>
          <w:p>
            <w:pPr>
              <w:pStyle w:val="null3"/>
              <w:jc w:val="left"/>
            </w:pPr>
            <w:r>
              <w:rPr>
                <w:sz w:val="24"/>
              </w:rPr>
              <w:t>a.56</w:t>
            </w:r>
            <w:r>
              <w:rPr>
                <w:sz w:val="24"/>
              </w:rPr>
              <w:t>株</w:t>
            </w:r>
            <w:r>
              <w:rPr>
                <w:sz w:val="24"/>
              </w:rPr>
              <w:t>/</w:t>
            </w:r>
            <w:r>
              <w:rPr>
                <w:sz w:val="24"/>
              </w:rPr>
              <w:t>亩，株行距为</w:t>
            </w:r>
            <w:r>
              <w:rPr>
                <w:sz w:val="24"/>
              </w:rPr>
              <w:t>3</w:t>
            </w:r>
            <w:r>
              <w:rPr>
                <w:sz w:val="24"/>
              </w:rPr>
              <w:t>×</w:t>
            </w:r>
            <w:r>
              <w:rPr>
                <w:sz w:val="24"/>
              </w:rPr>
              <w:t>4m</w:t>
            </w:r>
            <w:r>
              <w:rPr>
                <w:sz w:val="24"/>
              </w:rPr>
              <w:t>；</w:t>
            </w:r>
          </w:p>
          <w:p>
            <w:pPr>
              <w:pStyle w:val="null3"/>
              <w:jc w:val="left"/>
            </w:pPr>
            <w:r>
              <w:rPr>
                <w:sz w:val="24"/>
              </w:rPr>
              <w:t>b.74</w:t>
            </w:r>
            <w:r>
              <w:rPr>
                <w:sz w:val="24"/>
              </w:rPr>
              <w:t>株</w:t>
            </w:r>
            <w:r>
              <w:rPr>
                <w:sz w:val="24"/>
              </w:rPr>
              <w:t>/</w:t>
            </w:r>
            <w:r>
              <w:rPr>
                <w:sz w:val="24"/>
              </w:rPr>
              <w:t>亩，株行距为</w:t>
            </w:r>
            <w:r>
              <w:rPr>
                <w:sz w:val="24"/>
              </w:rPr>
              <w:t>3</w:t>
            </w:r>
            <w:r>
              <w:rPr>
                <w:sz w:val="24"/>
              </w:rPr>
              <w:t>×</w:t>
            </w:r>
            <w:r>
              <w:rPr>
                <w:sz w:val="24"/>
              </w:rPr>
              <w:t>3m</w:t>
            </w:r>
            <w:r>
              <w:rPr>
                <w:sz w:val="24"/>
              </w:rPr>
              <w:t>；</w:t>
            </w:r>
          </w:p>
          <w:p>
            <w:pPr>
              <w:pStyle w:val="null3"/>
              <w:ind w:firstLine="480"/>
              <w:jc w:val="left"/>
            </w:pPr>
            <w:r>
              <w:rPr>
                <w:sz w:val="24"/>
              </w:rPr>
              <w:t>要求在造林地内的林中空地按林地内乔木稀疏、密度低的地块见疏加密，保持造林小班株数达到造林密度要求，行距不小于</w:t>
            </w:r>
            <w:r>
              <w:rPr>
                <w:sz w:val="24"/>
              </w:rPr>
              <w:t>3m</w:t>
            </w:r>
            <w:r>
              <w:rPr>
                <w:sz w:val="24"/>
              </w:rPr>
              <w:t>。</w:t>
            </w:r>
          </w:p>
          <w:p>
            <w:pPr>
              <w:pStyle w:val="null3"/>
              <w:jc w:val="left"/>
            </w:pPr>
            <w:r>
              <w:rPr>
                <w:sz w:val="24"/>
              </w:rPr>
              <w:t>（</w:t>
            </w:r>
            <w:r>
              <w:rPr>
                <w:sz w:val="24"/>
              </w:rPr>
              <w:t>七</w:t>
            </w:r>
            <w:r>
              <w:rPr>
                <w:sz w:val="24"/>
              </w:rPr>
              <w:t>）</w:t>
            </w:r>
            <w:r>
              <w:rPr>
                <w:sz w:val="24"/>
              </w:rPr>
              <w:t>苗木要求</w:t>
            </w:r>
          </w:p>
          <w:p>
            <w:pPr>
              <w:pStyle w:val="null3"/>
              <w:ind w:firstLine="480"/>
              <w:jc w:val="left"/>
            </w:pPr>
            <w:r>
              <w:rPr>
                <w:sz w:val="24"/>
              </w:rPr>
              <w:t>设计选用</w:t>
            </w:r>
            <w:r>
              <w:rPr>
                <w:sz w:val="24"/>
              </w:rPr>
              <w:t>2</w:t>
            </w:r>
            <w:r>
              <w:rPr>
                <w:sz w:val="24"/>
              </w:rPr>
              <w:t>种油茶品种混交种植：岑软</w:t>
            </w:r>
            <w:r>
              <w:rPr>
                <w:sz w:val="24"/>
              </w:rPr>
              <w:t>2</w:t>
            </w:r>
            <w:r>
              <w:rPr>
                <w:sz w:val="24"/>
              </w:rPr>
              <w:t>号和</w:t>
            </w:r>
            <w:r>
              <w:rPr>
                <w:sz w:val="24"/>
              </w:rPr>
              <w:t>3</w:t>
            </w:r>
            <w:r>
              <w:rPr>
                <w:sz w:val="24"/>
              </w:rPr>
              <w:t>号。油茶规格应在</w:t>
            </w:r>
            <w:r>
              <w:rPr>
                <w:sz w:val="24"/>
              </w:rPr>
              <w:t>2</w:t>
            </w:r>
            <w:r>
              <w:rPr>
                <w:sz w:val="24"/>
              </w:rPr>
              <w:t>年生以上、苗高</w:t>
            </w:r>
            <w:r>
              <w:rPr>
                <w:sz w:val="24"/>
              </w:rPr>
              <w:t>50cm</w:t>
            </w:r>
            <w:r>
              <w:rPr>
                <w:sz w:val="24"/>
              </w:rPr>
              <w:t>以上、地径</w:t>
            </w:r>
            <w:r>
              <w:rPr>
                <w:sz w:val="24"/>
              </w:rPr>
              <w:t>0.5cm</w:t>
            </w:r>
            <w:r>
              <w:rPr>
                <w:sz w:val="24"/>
              </w:rPr>
              <w:t>以上的良种容器壮苗，应有“两证一签”（即生产经营许可证、产地检疫证或植物检疫证书、苗木标签），禁止使用无证、带病虫害的不合格苗木上山造林。优先采用保障性苗圃定单育苗定向供苗。</w:t>
            </w:r>
          </w:p>
          <w:p>
            <w:pPr>
              <w:pStyle w:val="null3"/>
              <w:jc w:val="left"/>
            </w:pPr>
            <w:r>
              <w:rPr>
                <w:sz w:val="24"/>
              </w:rPr>
              <w:t>（</w:t>
            </w:r>
            <w:r>
              <w:rPr>
                <w:sz w:val="24"/>
              </w:rPr>
              <w:t>八</w:t>
            </w:r>
            <w:r>
              <w:rPr>
                <w:sz w:val="24"/>
              </w:rPr>
              <w:t>）</w:t>
            </w:r>
            <w:r>
              <w:rPr>
                <w:sz w:val="24"/>
              </w:rPr>
              <w:t>栽植与混交方式</w:t>
            </w:r>
          </w:p>
          <w:p>
            <w:pPr>
              <w:pStyle w:val="null3"/>
              <w:ind w:firstLine="480"/>
              <w:jc w:val="left"/>
            </w:pPr>
            <w:r>
              <w:rPr>
                <w:sz w:val="24"/>
              </w:rPr>
              <w:t>栽植时间应在透雨后的阴雨天栽植。栽植时，非溶性营养袋苗必须除袋后带土栽植。苗要扶正、根系要舒展，适当深栽，回土要细，回土后轻轻提苗，然后适当压实，最后用松土回成馒头状。苗木栽植要求当天起苗、当天栽植，确保本项目建设质量。</w:t>
            </w:r>
          </w:p>
          <w:p>
            <w:pPr>
              <w:pStyle w:val="null3"/>
              <w:jc w:val="left"/>
            </w:pPr>
            <w:r>
              <w:rPr>
                <w:sz w:val="24"/>
              </w:rPr>
              <w:t>按照生态功能优先、师法自然的原则，结合树种的生物学特性，造林采用随机混交的方式（树种配置采用十分法）。</w:t>
            </w:r>
          </w:p>
          <w:p>
            <w:pPr>
              <w:pStyle w:val="null3"/>
              <w:jc w:val="left"/>
            </w:pPr>
            <w:r>
              <w:rPr>
                <w:sz w:val="24"/>
              </w:rPr>
              <w:t>（</w:t>
            </w:r>
            <w:r>
              <w:rPr>
                <w:sz w:val="24"/>
              </w:rPr>
              <w:t>九</w:t>
            </w:r>
            <w:r>
              <w:rPr>
                <w:sz w:val="24"/>
              </w:rPr>
              <w:t>）</w:t>
            </w:r>
            <w:r>
              <w:rPr>
                <w:sz w:val="24"/>
              </w:rPr>
              <w:t>抚育</w:t>
            </w:r>
          </w:p>
          <w:p>
            <w:pPr>
              <w:pStyle w:val="null3"/>
              <w:jc w:val="both"/>
            </w:pPr>
            <w:r>
              <w:rPr>
                <w:sz w:val="24"/>
              </w:rPr>
              <w:t>抚育是提高造林成效的关键，种植后要进行一次抚育。抚育工作主要内容是割灌除草、松土扩穴、培土、追肥和补植，具体要求：在抚育过程中如发现死株、缺株应及时补植，补植要选择在阴雨天进行；除草采用带状割灌除草方式进行，将原种植带内的杂草、藤本、灌木割除，带宽</w:t>
            </w:r>
            <w:r>
              <w:rPr>
                <w:sz w:val="24"/>
              </w:rPr>
              <w:t>1.2m</w:t>
            </w:r>
            <w:r>
              <w:rPr>
                <w:sz w:val="24"/>
              </w:rPr>
              <w:t>。割灌除草后，以幼树为中心，半径为</w:t>
            </w:r>
            <w:r>
              <w:rPr>
                <w:sz w:val="24"/>
              </w:rPr>
              <w:t>0.6m</w:t>
            </w:r>
            <w:r>
              <w:rPr>
                <w:sz w:val="24"/>
              </w:rPr>
              <w:t>范围进行松土；追肥采用复合肥（</w:t>
            </w:r>
            <w:r>
              <w:rPr>
                <w:sz w:val="24"/>
              </w:rPr>
              <w:t>NPK</w:t>
            </w:r>
            <w:r>
              <w:rPr>
                <w:sz w:val="24"/>
              </w:rPr>
              <w:t>含量≥</w:t>
            </w:r>
            <w:r>
              <w:rPr>
                <w:sz w:val="24"/>
              </w:rPr>
              <w:t>45%</w:t>
            </w:r>
            <w:r>
              <w:rPr>
                <w:sz w:val="24"/>
              </w:rPr>
              <w:t>），采用沟状埋施，施肥沟位于树冠投影外沿的上坡处，施肥穴规格为</w:t>
            </w:r>
            <w:r>
              <w:rPr>
                <w:sz w:val="24"/>
              </w:rPr>
              <w:t>20</w:t>
            </w:r>
            <w:r>
              <w:rPr>
                <w:sz w:val="24"/>
              </w:rPr>
              <w:t>×</w:t>
            </w:r>
            <w:r>
              <w:rPr>
                <w:sz w:val="24"/>
              </w:rPr>
              <w:t>20</w:t>
            </w:r>
            <w:r>
              <w:rPr>
                <w:sz w:val="24"/>
              </w:rPr>
              <w:t>×</w:t>
            </w:r>
            <w:r>
              <w:rPr>
                <w:sz w:val="24"/>
              </w:rPr>
              <w:t>20cm</w:t>
            </w:r>
            <w:r>
              <w:rPr>
                <w:sz w:val="24"/>
              </w:rPr>
              <w:t>，每次追肥</w:t>
            </w:r>
            <w:r>
              <w:rPr>
                <w:sz w:val="24"/>
              </w:rPr>
              <w:t>0.25kg/</w:t>
            </w:r>
            <w:r>
              <w:rPr>
                <w:sz w:val="24"/>
              </w:rPr>
              <w:t>株，施肥后要及时覆土；培土在施肥后进行，将幼树周边土壤回覆形成圆形平台。</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1.采购代理机构：本项目是指广东祥泰工程项目管理有限公司，负责整个采购活动的组织，依法负责编制和发布招标文件，对招标文件拥有最终的解释权，不以任何身份出任评标委员会成员。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德庆县林业局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采购机构代理服务收费标准：中标总金额在100万以下的，代理服务费按成交总金额的1.5%计算；100万到500万的，按0.8%计算，代理服务费按差额定率累进法计算。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广东祥泰工程项目管理有限公司</w:t>
      </w:r>
      <w:r>
        <w:rPr/>
        <w:t>代收。具体操作要求详见</w:t>
      </w:r>
      <w:r>
        <w:rPr/>
        <w:t>广东祥泰工程项目管理有限公司</w:t>
      </w:r>
      <w:r>
        <w:rPr/>
        <w:t>有关指引，递交事宜请自行咨询</w:t>
      </w:r>
      <w:r>
        <w:rPr/>
        <w:t>广东祥泰工程项目管理有限公司</w:t>
      </w:r>
      <w:r>
        <w:rPr/>
        <w:t>；请各投标人在投标文件递交截止时间前按须知前附表规定的金额递交至</w:t>
      </w:r>
      <w:r>
        <w:rPr/>
        <w:t>广东祥泰工程项目管理有限公司</w:t>
      </w:r>
      <w:r>
        <w:rPr/>
        <w:t>，到账情况以开标时</w:t>
      </w:r>
      <w:r>
        <w:rPr/>
        <w:t>广东祥泰工程项目管理有限公司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广东祥泰工程项目管理有限公司网（http://www.xtgcxm.com）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广东祥泰工程项目管理有限公司网（http://www.xtgcxm.com）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黄先生</w:t>
      </w:r>
    </w:p>
    <w:p>
      <w:pPr>
        <w:pStyle w:val="null3"/>
        <w:ind w:firstLine="480"/>
      </w:pPr>
      <w:r>
        <w:rPr/>
        <w:t>电话：</w:t>
      </w:r>
      <w:r>
        <w:rPr/>
        <w:t>17728823288</w:t>
      </w:r>
    </w:p>
    <w:p>
      <w:pPr>
        <w:pStyle w:val="null3"/>
        <w:ind w:firstLine="480"/>
      </w:pPr>
      <w:r>
        <w:rPr/>
        <w:t>传真：</w:t>
      </w:r>
      <w:r>
        <w:rPr/>
        <w:t>/</w:t>
      </w:r>
    </w:p>
    <w:p>
      <w:pPr>
        <w:pStyle w:val="null3"/>
        <w:ind w:firstLine="480"/>
      </w:pPr>
      <w:r>
        <w:rPr/>
        <w:t>邮箱：</w:t>
      </w:r>
      <w:r>
        <w:rPr/>
        <w:t>gdxtxmgl@126.com</w:t>
      </w:r>
    </w:p>
    <w:p>
      <w:pPr>
        <w:pStyle w:val="null3"/>
        <w:ind w:firstLine="480"/>
      </w:pPr>
      <w:r>
        <w:rPr/>
        <w:t>地址：</w:t>
      </w:r>
      <w:r>
        <w:rPr/>
        <w:t>广东省肇庆市端州区78区祥福路南侧鸿景悦园一幢二层写字楼204室</w:t>
      </w:r>
    </w:p>
    <w:p>
      <w:pPr>
        <w:pStyle w:val="null3"/>
        <w:ind w:firstLine="480"/>
      </w:pPr>
      <w:r>
        <w:rPr/>
        <w:t>邮编：</w:t>
      </w:r>
      <w:r>
        <w:rPr/>
        <w:t>526040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政府采购监督管理机构名称：德庆政府采购管理办公室</w:t>
      </w:r>
    </w:p>
    <w:p>
      <w:pPr>
        <w:pStyle w:val="null3"/>
      </w:pPr>
      <w:r>
        <w:rPr/>
        <w:t>地 址：德庆县德庆大道10号财政局</w:t>
      </w:r>
    </w:p>
    <w:p>
      <w:pPr>
        <w:pStyle w:val="null3"/>
      </w:pPr>
      <w:r>
        <w:rPr/>
        <w:t>电 话：0758-7781636</w:t>
      </w:r>
    </w:p>
    <w:p>
      <w:pPr>
        <w:pStyle w:val="null3"/>
      </w:pPr>
      <w:r>
        <w:rPr/>
        <w:t>邮 编：510030</w:t>
      </w:r>
    </w:p>
    <w:p>
      <w:pPr>
        <w:pStyle w:val="null3"/>
      </w:pPr>
      <w:r>
        <w:rPr/>
        <w:t>传 真：0758-7781636</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德庆县2025年森林质量精准提升项目（新造油茶）)：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广东祥泰工程项目管理有限公司</w:t>
      </w:r>
      <w:r>
        <w:rPr/>
        <w:t>统一对外发布。</w:t>
      </w:r>
    </w:p>
    <w:p>
      <w:pPr>
        <w:pStyle w:val="null3"/>
        <w:ind w:firstLine="480"/>
      </w:pPr>
      <w:r>
        <w:rPr/>
        <w:t>（2）对</w:t>
      </w:r>
      <w:r>
        <w:rPr/>
        <w:t>广东祥泰工程项目管理有限公司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采购包1（德庆县2025年森林质量精准提升项目（新造油茶））：</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采购包1（德庆县2025年森林质量精准提升项目（新造油茶））：</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供应商提供以下其中一项有效材料即可：1、针对该项作出承诺，并加盖公章（格式可参照《附件1.资格条件承诺函》）；2、提供2024年度财务状况报告或基本开户行出具的资信证明。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供应商提供以下其中一项有效材料即可：1、针对该项作出承诺，并加盖公章（格式可参照《附件1.资格条件承诺函》）；2、按投标（响应）文件格式填报设备及专业技术能力情况。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提供以下其中一项有效材料即可：1、针对该项作出承诺，并加盖公章（格式可参照《附件1.资格条件承诺函》）；2、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资格要求</w:t>
            </w:r>
          </w:p>
        </w:tc>
        <w:tc>
          <w:tcPr>
            <w:tcW w:type="dxa" w:w="4238"/>
          </w:tcPr>
          <w:p>
            <w:pPr>
              <w:pStyle w:val="null3"/>
            </w:pPr>
            <w:r>
              <w:rPr/>
              <w:t>供应商必须具备有效的造林绿化施工单位资质丙级或以上资质证书。</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w:t>
            </w:r>
          </w:p>
        </w:tc>
      </w:tr>
    </w:tbl>
    <w:p>
      <w:pPr>
        <w:pStyle w:val="null3"/>
        <w:ind w:firstLine="480"/>
      </w:pPr>
      <w:r>
        <w:rPr/>
        <w:t>表二符合性审查表：</w:t>
      </w:r>
    </w:p>
    <w:p>
      <w:pPr>
        <w:pStyle w:val="null3"/>
      </w:pPr>
      <w:r>
        <w:rPr/>
        <w:t>采购包1（德庆县2025年森林质量精准提升项目（新造油茶））：</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法定代表人或授权有效签署</w:t>
            </w:r>
          </w:p>
        </w:tc>
        <w:tc>
          <w:tcPr>
            <w:tcW w:type="dxa" w:w="4238"/>
          </w:tcPr>
          <w:p>
            <w:pPr>
              <w:pStyle w:val="null3"/>
            </w:pPr>
            <w:r>
              <w:rPr/>
              <w:t>法定代表人/负责人证明书及授权书，按对应格式文件签署、盖章。备注：如投标（报价）人代表为法定代表人的，则无需提交授权书。</w:t>
            </w:r>
          </w:p>
        </w:tc>
      </w:tr>
      <w:tr>
        <w:tc>
          <w:tcPr>
            <w:tcW w:type="dxa" w:w="890"/>
          </w:tcPr>
          <w:p>
            <w:pPr>
              <w:pStyle w:val="null3"/>
            </w:pPr>
            <w:r>
              <w:rPr/>
              <w:t>2</w:t>
            </w:r>
          </w:p>
        </w:tc>
        <w:tc>
          <w:tcPr>
            <w:tcW w:type="dxa" w:w="3178"/>
          </w:tcPr>
          <w:p>
            <w:pPr>
              <w:pStyle w:val="null3"/>
            </w:pPr>
            <w:r>
              <w:rPr/>
              <w:t>投标的有效期</w:t>
            </w:r>
          </w:p>
        </w:tc>
        <w:tc>
          <w:tcPr>
            <w:tcW w:type="dxa" w:w="4238"/>
          </w:tcPr>
          <w:p>
            <w:pPr>
              <w:pStyle w:val="null3"/>
            </w:pPr>
            <w:r>
              <w:rPr/>
              <w:t>从提交投标（响应）文件的截止之日起90日历天。</w:t>
            </w:r>
          </w:p>
        </w:tc>
      </w:tr>
      <w:tr>
        <w:tc>
          <w:tcPr>
            <w:tcW w:type="dxa" w:w="890"/>
          </w:tcPr>
          <w:p>
            <w:pPr>
              <w:pStyle w:val="null3"/>
            </w:pPr>
            <w:r>
              <w:rPr/>
              <w:t>3</w:t>
            </w:r>
          </w:p>
        </w:tc>
        <w:tc>
          <w:tcPr>
            <w:tcW w:type="dxa" w:w="3178"/>
          </w:tcPr>
          <w:p>
            <w:pPr>
              <w:pStyle w:val="null3"/>
            </w:pPr>
            <w:r>
              <w:rPr/>
              <w:t>关于报价</w:t>
            </w:r>
          </w:p>
        </w:tc>
        <w:tc>
          <w:tcPr>
            <w:tcW w:type="dxa" w:w="4238"/>
          </w:tcPr>
          <w:p>
            <w:pPr>
              <w:pStyle w:val="null3"/>
            </w:pPr>
            <w:r>
              <w:rPr/>
              <w:t>投标报价必须是固定的，且不得以低于成本的报价投标。（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4</w:t>
            </w:r>
          </w:p>
        </w:tc>
        <w:tc>
          <w:tcPr>
            <w:tcW w:type="dxa" w:w="3178"/>
          </w:tcPr>
          <w:p>
            <w:pPr>
              <w:pStyle w:val="null3"/>
            </w:pPr>
            <w:r>
              <w:rPr/>
              <w:t>投标人投标报价没有超出最高限价</w:t>
            </w:r>
          </w:p>
        </w:tc>
        <w:tc>
          <w:tcPr>
            <w:tcW w:type="dxa" w:w="4238"/>
          </w:tcPr>
          <w:p>
            <w:pPr>
              <w:pStyle w:val="null3"/>
            </w:pPr>
            <w:r>
              <w:rPr/>
              <w:t>投标人投标报价没有超出最高限价。</w:t>
            </w:r>
          </w:p>
        </w:tc>
      </w:tr>
      <w:tr>
        <w:tc>
          <w:tcPr>
            <w:tcW w:type="dxa" w:w="890"/>
          </w:tcPr>
          <w:p>
            <w:pPr>
              <w:pStyle w:val="null3"/>
            </w:pPr>
            <w:r>
              <w:rPr/>
              <w:t>5</w:t>
            </w:r>
          </w:p>
        </w:tc>
        <w:tc>
          <w:tcPr>
            <w:tcW w:type="dxa" w:w="3178"/>
          </w:tcPr>
          <w:p>
            <w:pPr>
              <w:pStyle w:val="null3"/>
            </w:pPr>
            <w:r>
              <w:rPr/>
              <w:t>合同履行期限</w:t>
            </w:r>
          </w:p>
        </w:tc>
        <w:tc>
          <w:tcPr>
            <w:tcW w:type="dxa" w:w="4238"/>
          </w:tcPr>
          <w:p>
            <w:pPr>
              <w:pStyle w:val="null3"/>
            </w:pPr>
            <w:r>
              <w:rPr/>
              <w:t>自签订合同之日起至2025年12月31日前完成。质保期以省核验通过时间为准（具体以合同签订时间为准）。</w:t>
            </w:r>
          </w:p>
        </w:tc>
      </w:tr>
      <w:tr>
        <w:tc>
          <w:tcPr>
            <w:tcW w:type="dxa" w:w="890"/>
          </w:tcPr>
          <w:p>
            <w:pPr>
              <w:pStyle w:val="null3"/>
            </w:pPr>
            <w:r>
              <w:rPr/>
              <w:t>6</w:t>
            </w:r>
          </w:p>
        </w:tc>
        <w:tc>
          <w:tcPr>
            <w:tcW w:type="dxa" w:w="3178"/>
          </w:tcPr>
          <w:p>
            <w:pPr>
              <w:pStyle w:val="null3"/>
            </w:pPr>
            <w:r>
              <w:rPr/>
              <w:t>无效情形</w:t>
            </w:r>
          </w:p>
        </w:tc>
        <w:tc>
          <w:tcPr>
            <w:tcW w:type="dxa" w:w="4238"/>
          </w:tcPr>
          <w:p>
            <w:pPr>
              <w:pStyle w:val="null3"/>
            </w:pPr>
            <w:r>
              <w:rPr/>
              <w:t>投标文件中未有法律、法规和招标文件规定的其他无效情形。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采购包1(德庆县2025年森林质量精准提升项目（新造油茶）):</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项目施工方案 (15.0分)</w:t>
            </w:r>
          </w:p>
        </w:tc>
        <w:tc>
          <w:tcPr>
            <w:tcW w:type="dxa" w:w="5076"/>
          </w:tcPr>
          <w:p>
            <w:pPr>
              <w:pStyle w:val="null3"/>
              <w:jc w:val="left"/>
            </w:pPr>
            <w:r>
              <w:rPr/>
              <w:t>根据投标供应商所提供的项目施工方案进行综合评审（包括但不限于：技术、物资、劳动组织准备、施工管理、施工重难点等）：（1）项目施工方案内容描述全面，方案思路严谨、清晰，提供的各项方案合理，内容齐全，易于实行，项目实施过程中的重点难点分析全面准确，相应提出的建议针对性强的，得15分； （2）项目施工方案内容描述详细合理，方案思路较为清晰，能结合项目实际情况，大部分满足项目需求，项目实施过程中的重点难点分析基本准确，相应提出的建议有一定的针对性的，得10分； （3）项目施工方案内容含糊，方案有欠缺或者描述简单，可操作一般，针对性一般，不能完全满足项目需求的，得5分； （4）项目实施方案内容缺失严重或各项描述内容与本项目不相关，不能满足项目需求的，得1分； （5）不提供方案不得分。</w:t>
            </w:r>
          </w:p>
        </w:tc>
      </w:tr>
      <w:tr>
        <w:tc>
          <w:tcPr>
            <w:tcW w:type="dxa" w:w="922"/>
            <w:gridSpan w:val="2"/>
            <w:vMerge/>
          </w:tcPr>
          <w:p/>
        </w:tc>
        <w:tc>
          <w:tcPr>
            <w:tcW w:type="dxa" w:w="2307"/>
          </w:tcPr>
          <w:p>
            <w:pPr>
              <w:pStyle w:val="null3"/>
              <w:jc w:val="left"/>
            </w:pPr>
            <w:r>
              <w:rPr/>
              <w:t>项目实施进度计划 (15.0分)</w:t>
            </w:r>
          </w:p>
        </w:tc>
        <w:tc>
          <w:tcPr>
            <w:tcW w:type="dxa" w:w="5076"/>
          </w:tcPr>
          <w:p>
            <w:pPr>
              <w:pStyle w:val="null3"/>
              <w:jc w:val="left"/>
            </w:pPr>
            <w:r>
              <w:rPr/>
              <w:t>根据投标供应商所提供的项目实施进度计划进行综合评审（包括实施过程计划、完成期计划安排和实施进度计划保障措施等）进行评分： （1）对本项目的实施过程计划重要性理解特别透彻，完成期计划安排和实施进度计划保障措施全面，对各阶段有明确的保证体系措施，执行程度高，有效的保障项目进度，能够清晰的反映实际需求，得15分； （2）提供的项目实施进度计划基本满足实施要求的，完成期计划安排和实施进度计划保障措施较全面，符合本项目实际情况，各阶段进度计划保证体系措施大部分有效、有一定的可行性，得10分； （3）提供的项目实施进度计划基本满足实施要求的，完成期计划安排和实施进度计划保障措施一般，方案措施具有一定的合理性和可行性，但未体现在进度能提供保障，得5分； （4）提供的项目实施进度计划缺乏合理性，完成期计划安排和实施进度计划保障措施未具备可行性的，难以为实施过程提供保障的工作安排及其保证措施，内容缺失严重，没有针对性，得1分； （5）不提供方案不得分。</w:t>
            </w:r>
          </w:p>
        </w:tc>
      </w:tr>
      <w:tr>
        <w:tc>
          <w:tcPr>
            <w:tcW w:type="dxa" w:w="922"/>
            <w:gridSpan w:val="2"/>
            <w:vMerge/>
          </w:tcPr>
          <w:p/>
        </w:tc>
        <w:tc>
          <w:tcPr>
            <w:tcW w:type="dxa" w:w="2307"/>
          </w:tcPr>
          <w:p>
            <w:pPr>
              <w:pStyle w:val="null3"/>
              <w:jc w:val="left"/>
            </w:pPr>
            <w:r>
              <w:rPr/>
              <w:t>质量保障措施 (15.0分)</w:t>
            </w:r>
          </w:p>
        </w:tc>
        <w:tc>
          <w:tcPr>
            <w:tcW w:type="dxa" w:w="5076"/>
          </w:tcPr>
          <w:p>
            <w:pPr>
              <w:pStyle w:val="null3"/>
              <w:jc w:val="left"/>
            </w:pPr>
            <w:r>
              <w:rPr/>
              <w:t>根据投标供应商所提供的质量保障措施进行综合评审（包括但不限于：质量目标、质量管理、质量保障措施等）：（1）提供的质量目标、质量管理和质量保障措施内容表达清晰，内容深度贴合，有效的保障项目质量，执行程度高，完全满足或优于采购需求，得15分； （2）提供的质量目标、质量管理和质量保障措施符合本项目实际情况，能保障项目质量，针对性较强、可行性较高，大部分满足采购需求的，得10分； （3）提供的质量目标、质量管理和质量保障措施存在欠缺之处，难以保障项目质量，实际操作有一定难度，不能完全满足项目需求，得5分； （4）提供的质量目标、质量管理和质量保障措施不合理、没有针对性、可操作差，不能满足项目需求的，得1分； （5）不提供方案不得分。</w:t>
            </w:r>
          </w:p>
        </w:tc>
      </w:tr>
      <w:tr>
        <w:tc>
          <w:tcPr>
            <w:tcW w:type="dxa" w:w="922"/>
            <w:gridSpan w:val="2"/>
            <w:vMerge/>
          </w:tcPr>
          <w:p/>
        </w:tc>
        <w:tc>
          <w:tcPr>
            <w:tcW w:type="dxa" w:w="2307"/>
          </w:tcPr>
          <w:p>
            <w:pPr>
              <w:pStyle w:val="null3"/>
              <w:jc w:val="left"/>
            </w:pPr>
            <w:r>
              <w:rPr/>
              <w:t>安全文明及环境保护措施 (10.0分)</w:t>
            </w:r>
          </w:p>
        </w:tc>
        <w:tc>
          <w:tcPr>
            <w:tcW w:type="dxa" w:w="5076"/>
          </w:tcPr>
          <w:p>
            <w:pPr>
              <w:pStyle w:val="null3"/>
              <w:jc w:val="left"/>
            </w:pPr>
            <w:r>
              <w:rPr/>
              <w:t>根据投标供应商所提供的安全文明及环境保护措施进行综合评审（包括但不限于：安全管理措施、安全文明措施、环境保护措施等）：（1）安全管理措施、安全文明措施、环境保护措施内容齐全、合理，执行程度高，易于实行，完全满足或优于项目需求的，得10分；（2）安全管理措施、安全文明措施、环境保护措施等内容针对性较强、各项措施保障到位、整体较为合理，能大部分满足项目实施的，得7分；（3）安全管理措施、安全文明措施、环境保护措施方案含糊，方案内容有欠缺或者描述简单，不能完全满足项目需求的，得4分；（4）安全管理措施、安全文明措施、环境保护措施方案不合理，可操作性、可行性差的，不能满足项目需求的，得1分；（5）不提供方案不得分。</w:t>
            </w:r>
          </w:p>
        </w:tc>
      </w:tr>
      <w:tr>
        <w:tc>
          <w:tcPr>
            <w:tcW w:type="dxa" w:w="922"/>
            <w:gridSpan w:val="2"/>
            <w:vMerge/>
          </w:tcPr>
          <w:p/>
        </w:tc>
        <w:tc>
          <w:tcPr>
            <w:tcW w:type="dxa" w:w="2307"/>
          </w:tcPr>
          <w:p>
            <w:pPr>
              <w:pStyle w:val="null3"/>
              <w:jc w:val="left"/>
            </w:pPr>
            <w:r>
              <w:rPr/>
              <w:t>突发事件处理措施 (10.0分)</w:t>
            </w:r>
          </w:p>
        </w:tc>
        <w:tc>
          <w:tcPr>
            <w:tcW w:type="dxa" w:w="5076"/>
          </w:tcPr>
          <w:p>
            <w:pPr>
              <w:pStyle w:val="null3"/>
              <w:jc w:val="left"/>
            </w:pPr>
            <w:r>
              <w:rPr/>
              <w:t>根据投标供应商所提供的突发事件处理措施进行综合评审（包括但不限于：人身安全意外事故、运输过程事故、施工过程事故、不可抗力事故等）：（1）投标供应商具备完善的突发事件处理措，能根据项目特点，有效分析可能出现的紧急情况及类别，按不同情况制定出突发事件处理保障方案，方案论证清晰、安排合理、可操作性强，及时解决突发事件，能快速完成采购人提出的应急任务，得10分； （2）投标供应商具备比较完善的突发事件处理措，能根据项目特点，有效分析及制定出突发事件处理保障方案，方案论证基本清晰 ，安排较为合理、具备一定的可操作性，但实施过程复杂繁琐的，不能快速完成采购人提出的应急任务，得7分 ； （3）投标供应商具备不太完善的突发事件处理措，能制定出突发事件处理保障方案，但方案欠缺合理安排，可操作性一般，难以解决突发事件及采购人提出的应急任务，得4分； （4）突发事件处理措方案简单，可操作性、可行性差，无法解决突发事件及采购人提出的应急任务，得1分（5）不提供方案不得分。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(9.0分)</w:t>
            </w:r>
          </w:p>
        </w:tc>
        <w:tc>
          <w:tcPr>
            <w:tcW w:type="dxa" w:w="5076"/>
          </w:tcPr>
          <w:p>
            <w:pPr>
              <w:pStyle w:val="null3"/>
              <w:jc w:val="left"/>
            </w:pPr>
            <w:r>
              <w:rPr/>
              <w:t>2022年1月1日至今（以合同签订时间为准）投标供应商承接过的同类项目业绩，每提供1个项目得3分，最高得9分。 注：提供合同关键页复印件并加盖供应商公章作为评审依据，未提供不得分。</w:t>
            </w:r>
          </w:p>
        </w:tc>
      </w:tr>
      <w:tr>
        <w:tc>
          <w:tcPr>
            <w:tcW w:type="dxa" w:w="922"/>
            <w:gridSpan w:val="2"/>
            <w:vMerge/>
          </w:tcPr>
          <w:p/>
        </w:tc>
        <w:tc>
          <w:tcPr>
            <w:tcW w:type="dxa" w:w="2307"/>
          </w:tcPr>
          <w:p>
            <w:pPr>
              <w:pStyle w:val="null3"/>
              <w:jc w:val="left"/>
            </w:pPr>
            <w:r>
              <w:rPr/>
              <w:t>项目负责人情况 (5.0分)</w:t>
            </w:r>
          </w:p>
        </w:tc>
        <w:tc>
          <w:tcPr>
            <w:tcW w:type="dxa" w:w="5076"/>
          </w:tcPr>
          <w:p>
            <w:pPr>
              <w:pStyle w:val="null3"/>
              <w:jc w:val="left"/>
            </w:pPr>
            <w:r>
              <w:rPr/>
              <w:t>具有林业或相关专业中级（或以上）职称的，得5分；具有林业或相关专业初级职称的，得2分。 本项最高得5分。 注：须同时提供以上相关人员的：①职称证书扫描件或复印件；②投标供应商为其缴纳的近3个月中任意一个月的社保证明材料复印件并加盖公章，不提供不得分。【如依法不需要缴纳社会保险的，应提供相应文件证明其依法不需要缴纳社会保障资金；如聘请离退人员无法购买社保的，则须提供退休证明、聘书（或劳动合同）作为评审依据，不提供或提供不全的不得分。】</w:t>
            </w:r>
          </w:p>
        </w:tc>
      </w:tr>
      <w:tr>
        <w:tc>
          <w:tcPr>
            <w:tcW w:type="dxa" w:w="922"/>
            <w:gridSpan w:val="2"/>
            <w:vMerge/>
          </w:tcPr>
          <w:p/>
        </w:tc>
        <w:tc>
          <w:tcPr>
            <w:tcW w:type="dxa" w:w="2307"/>
          </w:tcPr>
          <w:p>
            <w:pPr>
              <w:pStyle w:val="null3"/>
              <w:jc w:val="left"/>
            </w:pPr>
            <w:r>
              <w:rPr/>
              <w:t>其他人员情况 (8.0分)</w:t>
            </w:r>
          </w:p>
        </w:tc>
        <w:tc>
          <w:tcPr>
            <w:tcW w:type="dxa" w:w="5076"/>
          </w:tcPr>
          <w:p>
            <w:pPr>
              <w:pStyle w:val="null3"/>
              <w:jc w:val="left"/>
            </w:pPr>
            <w:r>
              <w:rPr/>
              <w:t>（1）投入的其他人员中具有林业或相关专业中级（或以上）职称的，得4分；具有林业或相关专业助理工程师职称的，得2分；本项最高得8分注：上述人员实行一人一证书，不可重复得分。须同时提供：①职称证书扫描件或复印件；②投标供应商为其缴纳的近3个月中任意一个月的社保证明材料复印件并加盖公章，不提供不得分。【如依法不需要缴纳社会保险的，应提供相应文件证明其依法不需要缴纳社会保障资金；如聘请离退人员无法购买社保的，则须提供退休证明、聘书（或劳动合同）作为评审依据，不提供或提供不全的不得分。】</w:t>
            </w:r>
          </w:p>
        </w:tc>
      </w:tr>
      <w:tr>
        <w:tc>
          <w:tcPr>
            <w:tcW w:type="dxa" w:w="922"/>
            <w:gridSpan w:val="2"/>
            <w:vMerge/>
          </w:tcPr>
          <w:p/>
        </w:tc>
        <w:tc>
          <w:tcPr>
            <w:tcW w:type="dxa" w:w="2307"/>
          </w:tcPr>
          <w:p>
            <w:pPr>
              <w:pStyle w:val="null3"/>
              <w:jc w:val="left"/>
            </w:pPr>
            <w:r>
              <w:rPr/>
              <w:t>综合实力 (3.0分)</w:t>
            </w:r>
          </w:p>
        </w:tc>
        <w:tc>
          <w:tcPr>
            <w:tcW w:type="dxa" w:w="5076"/>
          </w:tcPr>
          <w:p>
            <w:pPr>
              <w:pStyle w:val="null3"/>
              <w:jc w:val="left"/>
            </w:pPr>
            <w:r>
              <w:rPr/>
              <w:t>投标供应商具有质量管理体系认证、职业健康安全管理体系认证、环境管理体系认证，每提供一项证书得1分，最高的3分。注：须提供全国认证认可信息公共服务平台网的查询截图，并加盖供应商公章。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广东省政府采购</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48"/>
          <w:b/>
          <w:color w:val="222222"/>
        </w:rPr>
        <w:t>合　同　书</w:t>
      </w:r>
    </w:p>
    <w:p>
      <w:pPr>
        <w:pStyle w:val="null3"/>
        <w:shd w:fill="FFFFFF"/>
        <w:spacing w:before="0" w:after="0"/>
        <w:ind w:left="0" w:right="0"/>
        <w:jc w:val="center"/>
      </w:pPr>
      <w:r>
        <w:br/>
      </w:r>
      <w:r>
        <w:br/>
      </w:r>
      <w:r>
        <w:br/>
      </w:r>
      <w:r>
        <w:br/>
      </w:r>
      <w:r>
        <w:br/>
      </w:r>
      <w:r>
        <w:br/>
      </w:r>
      <w:r>
        <w:br/>
      </w:r>
      <w:r>
        <w:br/>
      </w: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采购计划编号：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项目名称：</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jc w:val="both"/>
      </w:pPr>
      <w:r>
        <w:br/>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color w:val="222222"/>
        </w:rPr>
        <w:t xml:space="preserve"> </w:t>
      </w:r>
      <w:r>
        <w:rPr>
          <w:rFonts w:ascii="宋体" w:hAnsi="宋体" w:cs="宋体" w:eastAsia="宋体"/>
          <w:sz w:val="27"/>
          <w:color w:val="222222"/>
        </w:rPr>
        <w:t>：</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b/>
          <w:color w:val="222222"/>
        </w:rPr>
        <w:t>乙方：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color w:val="222222"/>
        </w:rPr>
        <w:t xml:space="preserve"> </w:t>
      </w:r>
      <w:r>
        <w:rPr>
          <w:rFonts w:ascii="宋体" w:hAnsi="宋体" w:cs="宋体" w:eastAsia="宋体"/>
          <w:sz w:val="27"/>
          <w:color w:val="222222"/>
        </w:rPr>
        <w:t xml:space="preserve"> </w:t>
      </w:r>
      <w:r>
        <w:rPr>
          <w:rFonts w:ascii="宋体" w:hAnsi="宋体" w:cs="宋体" w:eastAsia="宋体"/>
          <w:sz w:val="27"/>
          <w:color w:val="222222"/>
        </w:rPr>
        <w:t>根据</w:t>
      </w:r>
      <w:r>
        <w:rPr>
          <w:rFonts w:ascii="宋体" w:hAnsi="宋体" w:cs="宋体" w:eastAsia="宋体"/>
          <w:sz w:val="27"/>
          <w:color w:val="222222"/>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项目</w:t>
      </w:r>
      <w:r>
        <w:rPr>
          <w:rFonts w:ascii="宋体" w:hAnsi="宋体" w:cs="宋体" w:eastAsia="宋体"/>
          <w:sz w:val="27"/>
          <w:color w:val="222222"/>
          <w:u w:val="single"/>
        </w:rPr>
        <w:t xml:space="preserve"> </w:t>
      </w:r>
      <w:r>
        <w:rPr>
          <w:rFonts w:ascii="宋体" w:hAnsi="宋体" w:cs="宋体" w:eastAsia="宋体"/>
          <w:sz w:val="27"/>
          <w:color w:val="222222"/>
        </w:rPr>
        <w:t>的采购结果，按照《中华人民共和国政府采购法》，《</w:t>
      </w:r>
      <w:r>
        <w:rPr>
          <w:rFonts w:ascii="宋体" w:hAnsi="宋体" w:cs="宋体" w:eastAsia="宋体"/>
          <w:sz w:val="27"/>
          <w:color w:val="222222"/>
        </w:rPr>
        <w:t>中华人民共和国民法典(合同编)</w:t>
      </w:r>
      <w:r>
        <w:rPr>
          <w:rFonts w:ascii="宋体" w:hAnsi="宋体" w:cs="宋体" w:eastAsia="宋体"/>
          <w:sz w:val="27"/>
          <w:color w:val="222222"/>
        </w:rPr>
        <w:t>》的规定，经双方协商，本着平等互利和诚实信用的原则，一致同意遵守本合同如下。</w:t>
      </w:r>
    </w:p>
    <w:p>
      <w:pPr>
        <w:pStyle w:val="null3"/>
        <w:shd w:fill="FFFFFF"/>
        <w:spacing w:before="0" w:after="0"/>
        <w:ind w:left="0" w:right="0"/>
        <w:jc w:val="both"/>
      </w:pPr>
      <w:r>
        <w:rPr>
          <w:rFonts w:ascii="宋体" w:hAnsi="宋体" w:cs="宋体" w:eastAsia="宋体"/>
          <w:sz w:val="27"/>
          <w:b/>
          <w:color w:val="222222"/>
        </w:rPr>
        <w:t>一、合同金额</w:t>
      </w:r>
    </w:p>
    <w:p>
      <w:pPr>
        <w:pStyle w:val="null3"/>
        <w:shd w:fill="FFFFFF"/>
        <w:spacing w:before="0" w:after="0"/>
        <w:ind w:left="0" w:right="0"/>
        <w:jc w:val="both"/>
      </w:pPr>
      <w:r>
        <w:rPr>
          <w:rFonts w:ascii="宋体" w:hAnsi="宋体" w:cs="宋体" w:eastAsia="宋体"/>
          <w:sz w:val="27"/>
          <w:color w:val="222222"/>
        </w:rPr>
        <w:t>　　合同金额为（大写）：_____________元（￥_________元）人民币。</w:t>
      </w:r>
    </w:p>
    <w:p>
      <w:pPr>
        <w:pStyle w:val="null3"/>
        <w:shd w:fill="FFFFFF"/>
        <w:spacing w:before="0" w:after="0"/>
        <w:ind w:left="0" w:right="0"/>
        <w:jc w:val="both"/>
      </w:pPr>
      <w:r>
        <w:rPr>
          <w:rFonts w:ascii="宋体" w:hAnsi="宋体" w:cs="宋体" w:eastAsia="宋体"/>
          <w:sz w:val="27"/>
          <w:b/>
          <w:color w:val="222222"/>
        </w:rPr>
        <w:t>二、服务范围</w:t>
      </w:r>
    </w:p>
    <w:p>
      <w:pPr>
        <w:pStyle w:val="null3"/>
        <w:shd w:fill="FFFFFF"/>
        <w:spacing w:before="0" w:after="0"/>
        <w:ind w:left="0" w:right="0"/>
        <w:jc w:val="both"/>
      </w:pPr>
      <w:r>
        <w:rPr>
          <w:rFonts w:ascii="宋体" w:hAnsi="宋体" w:cs="宋体" w:eastAsia="宋体"/>
          <w:sz w:val="27"/>
          <w:color w:val="222222"/>
        </w:rPr>
        <w:t>　　甲方聘请乙方提供以下服务：</w:t>
      </w:r>
    </w:p>
    <w:p>
      <w:pPr>
        <w:pStyle w:val="null3"/>
        <w:shd w:fill="FFFFFF"/>
        <w:spacing w:before="0" w:after="0"/>
        <w:ind w:left="0" w:right="0"/>
        <w:jc w:val="both"/>
      </w:pPr>
      <w:r>
        <w:rPr>
          <w:rFonts w:ascii="宋体" w:hAnsi="宋体" w:cs="宋体" w:eastAsia="宋体"/>
          <w:sz w:val="27"/>
          <w:color w:val="222222"/>
        </w:rPr>
        <w:t>　　1．</w:t>
      </w:r>
      <w:r>
        <w:rPr>
          <w:rFonts w:ascii="宋体" w:hAnsi="宋体" w:cs="宋体" w:eastAsia="宋体"/>
          <w:sz w:val="27"/>
          <w:color w:val="222222"/>
          <w:u w:val="single"/>
        </w:rPr>
        <w:t>　　　　　　　　　　　</w:t>
      </w: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color w:val="222222"/>
        </w:rPr>
        <w:t>　　2．</w:t>
      </w:r>
      <w:r>
        <w:rPr>
          <w:rFonts w:ascii="宋体" w:hAnsi="宋体" w:cs="宋体" w:eastAsia="宋体"/>
          <w:sz w:val="27"/>
          <w:color w:val="222222"/>
          <w:u w:val="single"/>
        </w:rPr>
        <w:t>　　　　　　　　　　　</w:t>
      </w:r>
    </w:p>
    <w:p>
      <w:pPr>
        <w:pStyle w:val="null3"/>
        <w:shd w:fill="FFFFFF"/>
        <w:spacing w:before="0" w:after="0"/>
        <w:ind w:left="0" w:right="0"/>
        <w:jc w:val="both"/>
      </w:pP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b/>
          <w:color w:val="222222"/>
        </w:rPr>
        <w:t>三、甲方乙方的权利和义务</w:t>
      </w:r>
    </w:p>
    <w:p>
      <w:pPr>
        <w:pStyle w:val="null3"/>
        <w:shd w:fill="FFFFFF"/>
        <w:spacing w:before="0" w:after="0"/>
        <w:ind w:left="0" w:right="0"/>
        <w:jc w:val="both"/>
      </w:pPr>
      <w:r>
        <w:rPr>
          <w:rFonts w:ascii="宋体" w:hAnsi="宋体" w:cs="宋体" w:eastAsia="宋体"/>
          <w:sz w:val="27"/>
          <w:color w:val="222222"/>
        </w:rPr>
        <w:t>　　1.甲方的权利和义务</w:t>
      </w:r>
    </w:p>
    <w:p>
      <w:pPr>
        <w:pStyle w:val="null3"/>
        <w:shd w:fill="FFFFFF"/>
        <w:spacing w:before="0" w:after="0"/>
        <w:ind w:left="0" w:right="0"/>
        <w:jc w:val="both"/>
      </w:pPr>
      <w:r>
        <w:rPr>
          <w:rFonts w:ascii="宋体" w:hAnsi="宋体" w:cs="宋体" w:eastAsia="宋体"/>
          <w:sz w:val="27"/>
          <w:color w:val="222222"/>
        </w:rPr>
        <w:t>　　2.乙方的权利和义务</w:t>
      </w:r>
    </w:p>
    <w:p>
      <w:pPr>
        <w:pStyle w:val="null3"/>
        <w:shd w:fill="FFFFFF"/>
        <w:spacing w:before="0" w:after="0"/>
        <w:ind w:left="0" w:right="0"/>
        <w:jc w:val="both"/>
      </w:pPr>
      <w:r>
        <w:rPr>
          <w:rFonts w:ascii="宋体" w:hAnsi="宋体" w:cs="宋体" w:eastAsia="宋体"/>
          <w:sz w:val="27"/>
          <w:b/>
          <w:color w:val="222222"/>
        </w:rPr>
        <w:t>四、服务期间（项目完成期限）</w:t>
      </w:r>
    </w:p>
    <w:p>
      <w:pPr>
        <w:pStyle w:val="null3"/>
        <w:shd w:fill="FFFFFF"/>
        <w:spacing w:before="0" w:after="0"/>
        <w:ind w:left="0" w:right="0"/>
        <w:jc w:val="both"/>
      </w:pPr>
      <w:r>
        <w:rPr>
          <w:rFonts w:ascii="宋体" w:hAnsi="宋体" w:cs="宋体" w:eastAsia="宋体"/>
          <w:sz w:val="27"/>
          <w:color w:val="222222"/>
        </w:rPr>
        <w:t>　　1.委托服务期间自______年______月至______年______月止。</w:t>
      </w:r>
    </w:p>
    <w:p>
      <w:pPr>
        <w:pStyle w:val="null3"/>
        <w:shd w:fill="FFFFFF"/>
        <w:spacing w:before="0" w:after="0"/>
        <w:ind w:left="0" w:right="0"/>
        <w:jc w:val="both"/>
      </w:pPr>
      <w:r>
        <w:rPr>
          <w:rFonts w:ascii="宋体" w:hAnsi="宋体" w:cs="宋体" w:eastAsia="宋体"/>
          <w:sz w:val="27"/>
          <w:b/>
          <w:color w:val="222222"/>
        </w:rPr>
        <w:t>五、付款方式</w:t>
      </w:r>
    </w:p>
    <w:p>
      <w:pPr>
        <w:pStyle w:val="null3"/>
        <w:shd w:fill="FFFFFF"/>
        <w:spacing w:before="0" w:after="0"/>
        <w:ind w:left="0" w:right="0"/>
        <w:jc w:val="both"/>
      </w:pPr>
      <w:r>
        <w:rPr>
          <w:rFonts w:ascii="宋体" w:hAnsi="宋体" w:cs="宋体" w:eastAsia="宋体"/>
          <w:sz w:val="27"/>
          <w:color w:val="222222"/>
        </w:rPr>
        <w:t>　　由甲方按下列程序在</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内付款：</w:t>
      </w:r>
    </w:p>
    <w:p>
      <w:pPr>
        <w:pStyle w:val="null3"/>
        <w:shd w:fill="FFFFFF"/>
        <w:spacing w:before="0" w:after="0"/>
        <w:ind w:left="0" w:right="0"/>
        <w:jc w:val="both"/>
      </w:pPr>
      <w:r>
        <w:rPr>
          <w:rFonts w:ascii="宋体" w:hAnsi="宋体" w:cs="宋体" w:eastAsia="宋体"/>
          <w:sz w:val="27"/>
          <w:color w:val="222222"/>
        </w:rPr>
        <w:t>　　1.在合同实施及服务人员到达服务地后__天内，甲方应将第一次付　　款总服务费的__(-%)付给乙方。</w:t>
      </w:r>
    </w:p>
    <w:p>
      <w:pPr>
        <w:pStyle w:val="null3"/>
        <w:shd w:fill="FFFFFF"/>
        <w:spacing w:before="0" w:after="0"/>
        <w:ind w:left="0" w:right="0"/>
        <w:jc w:val="both"/>
      </w:pPr>
      <w:r>
        <w:rPr>
          <w:rFonts w:ascii="宋体" w:hAnsi="宋体" w:cs="宋体" w:eastAsia="宋体"/>
          <w:sz w:val="27"/>
          <w:color w:val="222222"/>
        </w:rPr>
        <w:t>　　2.第二次付款额应为总服务费的__(-%)，甲方应在乙方已经准备好，并递交了服务报告及其它相关文件，而这些报告和文件符合合同附件上的要求并被甲方验收后付给乙方。</w:t>
      </w:r>
    </w:p>
    <w:p>
      <w:pPr>
        <w:pStyle w:val="null3"/>
        <w:shd w:fill="FFFFFF"/>
        <w:spacing w:before="0" w:after="0"/>
        <w:ind w:left="0" w:right="0"/>
        <w:jc w:val="both"/>
      </w:pPr>
      <w:r>
        <w:rPr>
          <w:rFonts w:ascii="宋体" w:hAnsi="宋体" w:cs="宋体" w:eastAsia="宋体"/>
          <w:sz w:val="27"/>
          <w:color w:val="222222"/>
        </w:rPr>
        <w:t>　　3.最后一次付款额应为总服务费的__(-%)，甲方应在乙方递交了服务总结报告和说明并完全履行合同完毕_________日内付给乙方。</w:t>
      </w:r>
    </w:p>
    <w:p>
      <w:pPr>
        <w:pStyle w:val="null3"/>
        <w:shd w:fill="FFFFFF"/>
        <w:spacing w:before="0" w:after="0"/>
        <w:ind w:left="0" w:right="0"/>
        <w:jc w:val="both"/>
      </w:pPr>
      <w:r>
        <w:rPr>
          <w:rFonts w:ascii="宋体" w:hAnsi="宋体" w:cs="宋体" w:eastAsia="宋体"/>
          <w:sz w:val="27"/>
          <w:color w:val="222222"/>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hd w:fill="FFFFFF"/>
        <w:spacing w:before="0" w:after="0"/>
        <w:ind w:left="0" w:right="0"/>
        <w:jc w:val="both"/>
      </w:pPr>
      <w:r>
        <w:rPr>
          <w:rFonts w:ascii="宋体" w:hAnsi="宋体" w:cs="宋体" w:eastAsia="宋体"/>
          <w:sz w:val="27"/>
          <w:b/>
          <w:color w:val="222222"/>
        </w:rPr>
        <w:t>六、知识产权归属</w:t>
      </w:r>
    </w:p>
    <w:p>
      <w:pPr>
        <w:pStyle w:val="null3"/>
        <w:shd w:fill="FFFFFF"/>
        <w:spacing w:before="0" w:after="0"/>
        <w:ind w:left="0" w:right="0"/>
        <w:jc w:val="both"/>
      </w:pPr>
      <w:r>
        <w:rPr>
          <w:rFonts w:ascii="宋体" w:hAnsi="宋体" w:cs="宋体" w:eastAsia="宋体"/>
          <w:sz w:val="27"/>
          <w:b/>
          <w:color w:val="222222"/>
        </w:rPr>
        <w:t>七、保密</w:t>
      </w:r>
    </w:p>
    <w:p>
      <w:pPr>
        <w:pStyle w:val="null3"/>
        <w:shd w:fill="FFFFFF"/>
        <w:spacing w:before="0" w:after="0"/>
        <w:ind w:left="0" w:right="0"/>
        <w:jc w:val="both"/>
      </w:pPr>
      <w:r>
        <w:rPr>
          <w:rFonts w:ascii="宋体" w:hAnsi="宋体" w:cs="宋体" w:eastAsia="宋体"/>
          <w:sz w:val="27"/>
          <w:b/>
          <w:color w:val="222222"/>
        </w:rPr>
        <w:t>八、违约责任与赔偿损失</w:t>
      </w:r>
    </w:p>
    <w:p>
      <w:pPr>
        <w:pStyle w:val="null3"/>
        <w:shd w:fill="FFFFFF"/>
        <w:spacing w:before="0" w:after="0"/>
        <w:ind w:left="0" w:right="0"/>
        <w:jc w:val="both"/>
      </w:pPr>
      <w:r>
        <w:rPr>
          <w:rFonts w:ascii="宋体" w:hAnsi="宋体" w:cs="宋体" w:eastAsia="宋体"/>
          <w:sz w:val="27"/>
          <w:color w:val="222222"/>
        </w:rPr>
        <w:t>　　1.乙方提供的服务不符合本合同规定的，甲方有权拒收，并且乙方须向甲方方支付本合同总价5%的违约金。</w:t>
      </w:r>
    </w:p>
    <w:p>
      <w:pPr>
        <w:pStyle w:val="null3"/>
        <w:shd w:fill="FFFFFF"/>
        <w:spacing w:before="0" w:after="0"/>
        <w:ind w:left="0" w:right="0"/>
        <w:jc w:val="both"/>
      </w:pPr>
      <w:r>
        <w:rPr>
          <w:rFonts w:ascii="宋体" w:hAnsi="宋体" w:cs="宋体" w:eastAsia="宋体"/>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hd w:fill="FFFFFF"/>
        <w:spacing w:before="0" w:after="0"/>
        <w:ind w:left="0" w:right="0"/>
        <w:jc w:val="both"/>
      </w:pPr>
      <w:r>
        <w:rPr>
          <w:rFonts w:ascii="宋体" w:hAnsi="宋体" w:cs="宋体" w:eastAsia="宋体"/>
          <w:sz w:val="27"/>
          <w:color w:val="222222"/>
        </w:rPr>
        <w:t>　　3.甲方无正当理由拒收接受服务，到期拒付服务款项的，甲方向乙方偿付本合同总的5%的违约金。甲方人逾期付款，则每日按本合同总价的3‰向乙方偿付违约金。</w:t>
      </w:r>
    </w:p>
    <w:p>
      <w:pPr>
        <w:pStyle w:val="null3"/>
        <w:shd w:fill="FFFFFF"/>
        <w:spacing w:before="0" w:after="0"/>
        <w:ind w:left="0" w:right="0"/>
        <w:jc w:val="both"/>
      </w:pPr>
      <w:r>
        <w:rPr>
          <w:rFonts w:ascii="宋体" w:hAnsi="宋体" w:cs="宋体" w:eastAsia="宋体"/>
          <w:sz w:val="27"/>
          <w:color w:val="222222"/>
        </w:rPr>
        <w:t>　　4.对于因甲方原因导致变更、中止或者终止政府采购合同的，甲方应当依照以下合同约定对供应商受到的损失予以赔偿或者补偿：</w:t>
      </w:r>
    </w:p>
    <w:p>
      <w:pPr>
        <w:pStyle w:val="null3"/>
        <w:shd w:fill="FFFFFF"/>
        <w:spacing w:before="0" w:after="0"/>
        <w:ind w:left="0" w:right="0"/>
        <w:jc w:val="both"/>
      </w:pP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p>
    <w:p>
      <w:pPr>
        <w:pStyle w:val="null3"/>
        <w:shd w:fill="FFFFFF"/>
        <w:spacing w:before="0" w:after="0"/>
        <w:ind w:left="0" w:right="0"/>
        <w:jc w:val="both"/>
      </w:pPr>
      <w:r>
        <w:rPr>
          <w:rFonts w:ascii="宋体" w:hAnsi="宋体" w:cs="宋体" w:eastAsia="宋体"/>
          <w:sz w:val="27"/>
          <w:color w:val="222222"/>
        </w:rPr>
        <w:t>　　5.其它违约责任按《</w:t>
      </w:r>
      <w:r>
        <w:rPr>
          <w:rFonts w:ascii="宋体" w:hAnsi="宋体" w:cs="宋体" w:eastAsia="宋体"/>
          <w:sz w:val="27"/>
          <w:color w:val="222222"/>
        </w:rPr>
        <w:t>中华人民共和国民法典(合同编)</w:t>
      </w:r>
      <w:r>
        <w:rPr>
          <w:rFonts w:ascii="宋体" w:hAnsi="宋体" w:cs="宋体" w:eastAsia="宋体"/>
          <w:sz w:val="27"/>
          <w:color w:val="222222"/>
        </w:rPr>
        <w:t>》处理。</w:t>
      </w:r>
    </w:p>
    <w:p>
      <w:pPr>
        <w:pStyle w:val="null3"/>
        <w:shd w:fill="FFFFFF"/>
        <w:spacing w:before="0" w:after="0"/>
        <w:ind w:left="0" w:right="0"/>
        <w:jc w:val="both"/>
      </w:pPr>
      <w:r>
        <w:rPr>
          <w:rFonts w:ascii="宋体" w:hAnsi="宋体" w:cs="宋体" w:eastAsia="宋体"/>
          <w:sz w:val="27"/>
          <w:b/>
          <w:color w:val="222222"/>
        </w:rPr>
        <w:t>九、争议的解决</w:t>
      </w:r>
    </w:p>
    <w:p>
      <w:pPr>
        <w:pStyle w:val="null3"/>
        <w:shd w:fill="FFFFFF"/>
        <w:spacing w:before="0" w:after="0"/>
        <w:ind w:left="0" w:right="0" w:firstLine="400"/>
        <w:jc w:val="both"/>
      </w:pPr>
      <w:r>
        <w:rPr>
          <w:rFonts w:ascii="宋体" w:hAnsi="宋体" w:cs="宋体" w:eastAsia="宋体"/>
          <w:sz w:val="27"/>
          <w:color w:val="222222"/>
        </w:rPr>
        <w:t>合同执行过程中发生的任何争议，如双方不能通过友好协商解决，按相关法律法规处理。</w:t>
      </w:r>
      <w:r>
        <w:rPr>
          <w:rFonts w:ascii="helvetica" w:hAnsi="helvetica" w:cs="helvetica" w:eastAsia="helvetica"/>
          <w:sz w:val="27"/>
          <w:color w:val="222222"/>
        </w:rPr>
        <w:t xml:space="preserve"> </w:t>
      </w:r>
      <w:r>
        <w:rPr>
          <w:rFonts w:ascii="宋体" w:hAnsi="宋体" w:cs="宋体" w:eastAsia="宋体"/>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十、不可抗力</w:t>
      </w:r>
    </w:p>
    <w:p>
      <w:pPr>
        <w:pStyle w:val="null3"/>
        <w:shd w:fill="FFFFFF"/>
        <w:spacing w:before="0" w:after="0"/>
        <w:ind w:left="0" w:right="0"/>
        <w:jc w:val="both"/>
      </w:pPr>
      <w:r>
        <w:rPr>
          <w:rFonts w:ascii="宋体" w:hAnsi="宋体" w:cs="宋体" w:eastAsia="宋体"/>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hd w:fill="FFFFFF"/>
        <w:spacing w:before="0" w:after="0"/>
        <w:ind w:left="0" w:right="0"/>
        <w:jc w:val="both"/>
      </w:pPr>
      <w:r>
        <w:rPr>
          <w:rFonts w:ascii="宋体" w:hAnsi="宋体" w:cs="宋体" w:eastAsia="宋体"/>
          <w:sz w:val="27"/>
          <w:b/>
          <w:color w:val="222222"/>
        </w:rPr>
        <w:t>十一、税费</w:t>
      </w:r>
    </w:p>
    <w:p>
      <w:pPr>
        <w:pStyle w:val="null3"/>
        <w:shd w:fill="FFFFFF"/>
        <w:spacing w:before="0" w:after="0"/>
        <w:ind w:left="0" w:right="0"/>
        <w:jc w:val="both"/>
      </w:pPr>
      <w:r>
        <w:rPr>
          <w:rFonts w:ascii="宋体" w:hAnsi="宋体" w:cs="宋体" w:eastAsia="宋体"/>
          <w:sz w:val="27"/>
          <w:color w:val="222222"/>
        </w:rPr>
        <w:t>　　在中国境内、外发生的与本合同执行有关的一切税费均由乙方负担。</w:t>
      </w:r>
    </w:p>
    <w:p>
      <w:pPr>
        <w:pStyle w:val="null3"/>
        <w:shd w:fill="FFFFFF"/>
        <w:spacing w:before="0" w:after="0"/>
        <w:ind w:left="0" w:right="0"/>
        <w:jc w:val="both"/>
      </w:pPr>
      <w:r>
        <w:rPr>
          <w:rFonts w:ascii="宋体" w:hAnsi="宋体" w:cs="宋体" w:eastAsia="宋体"/>
          <w:sz w:val="27"/>
          <w:b/>
          <w:color w:val="222222"/>
        </w:rPr>
        <w:t>十二、其它</w:t>
      </w:r>
    </w:p>
    <w:p>
      <w:pPr>
        <w:pStyle w:val="null3"/>
        <w:shd w:fill="FFFFFF"/>
        <w:spacing w:before="0" w:after="0"/>
        <w:ind w:left="0" w:right="0"/>
        <w:jc w:val="both"/>
      </w:pPr>
      <w:r>
        <w:rPr>
          <w:rFonts w:ascii="宋体" w:hAnsi="宋体" w:cs="宋体" w:eastAsia="宋体"/>
          <w:sz w:val="27"/>
          <w:color w:val="222222"/>
        </w:rPr>
        <w:t>　　1.本合同所有附件、招标文件、投标文件、中标通知书均为合同的有效组成部分，与本合同具有同等法律效力。</w:t>
      </w:r>
    </w:p>
    <w:p>
      <w:pPr>
        <w:pStyle w:val="null3"/>
        <w:shd w:fill="FFFFFF"/>
        <w:spacing w:before="0" w:after="0"/>
        <w:ind w:left="0" w:right="0"/>
        <w:jc w:val="both"/>
      </w:pPr>
      <w:r>
        <w:rPr>
          <w:rFonts w:ascii="宋体" w:hAnsi="宋体" w:cs="宋体" w:eastAsia="宋体"/>
          <w:sz w:val="27"/>
          <w:color w:val="222222"/>
        </w:rPr>
        <w:t>　　2.在执行本合同的过程中，所有经双方签署确认的文件（包括会议纪要、补充协议、往来信函）即成为本合同的有效组成部分。</w:t>
      </w:r>
    </w:p>
    <w:p>
      <w:pPr>
        <w:pStyle w:val="null3"/>
        <w:shd w:fill="FFFFFF"/>
        <w:spacing w:before="0" w:after="0"/>
        <w:ind w:left="0" w:right="0"/>
        <w:jc w:val="both"/>
      </w:pPr>
      <w:r>
        <w:rPr>
          <w:rFonts w:ascii="宋体" w:hAnsi="宋体" w:cs="宋体" w:eastAsia="宋体"/>
          <w:sz w:val="27"/>
          <w:color w:val="222222"/>
        </w:rPr>
        <w:t>　　3.如一方地址、电话、传真号码有变更，应在变更当日内书面通知对方，否则，应承担相应责任。</w:t>
      </w:r>
    </w:p>
    <w:p>
      <w:pPr>
        <w:pStyle w:val="null3"/>
        <w:shd w:fill="FFFFFF"/>
        <w:spacing w:before="0" w:after="0"/>
        <w:ind w:left="0" w:right="0"/>
        <w:jc w:val="both"/>
      </w:pPr>
      <w:r>
        <w:rPr>
          <w:rFonts w:ascii="宋体" w:hAnsi="宋体" w:cs="宋体" w:eastAsia="宋体"/>
          <w:sz w:val="27"/>
          <w:color w:val="222222"/>
        </w:rPr>
        <w:t>　　4.除甲方事先书面同意外，乙方不得部分或全部转让其应履行的合同项下的义务。</w:t>
      </w:r>
    </w:p>
    <w:p>
      <w:pPr>
        <w:pStyle w:val="null3"/>
        <w:shd w:fill="FFFFFF"/>
        <w:spacing w:before="0" w:after="0"/>
        <w:ind w:left="0" w:right="0"/>
        <w:jc w:val="both"/>
      </w:pPr>
      <w:r>
        <w:rPr>
          <w:rFonts w:ascii="宋体" w:hAnsi="宋体" w:cs="宋体" w:eastAsia="宋体"/>
          <w:sz w:val="27"/>
          <w:b/>
          <w:color w:val="222222"/>
        </w:rPr>
        <w:t>十三、合同生效</w:t>
      </w:r>
    </w:p>
    <w:p>
      <w:pPr>
        <w:pStyle w:val="null3"/>
        <w:shd w:fill="FFFFFF"/>
        <w:spacing w:before="0" w:after="0"/>
        <w:ind w:left="0" w:right="0"/>
        <w:jc w:val="both"/>
      </w:pPr>
      <w:r>
        <w:rPr>
          <w:rFonts w:ascii="宋体" w:hAnsi="宋体" w:cs="宋体" w:eastAsia="宋体"/>
          <w:sz w:val="27"/>
          <w:color w:val="222222"/>
        </w:rPr>
        <w:t>　　1.本合同在甲乙双方法人代表或其授权代表签字盖章后生效。</w:t>
      </w:r>
    </w:p>
    <w:p>
      <w:pPr>
        <w:pStyle w:val="null3"/>
        <w:shd w:fill="FFFFFF"/>
        <w:spacing w:before="0" w:after="0"/>
        <w:ind w:left="0" w:right="0"/>
        <w:jc w:val="both"/>
      </w:pPr>
      <w:r>
        <w:rPr>
          <w:rFonts w:ascii="宋体" w:hAnsi="宋体" w:cs="宋体" w:eastAsia="宋体"/>
          <w:sz w:val="27"/>
          <w:color w:val="222222"/>
        </w:rPr>
        <w:t>　　2.合同一式</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份。</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甲方（盖章）：</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乙方（盖章）：</w:t>
      </w:r>
    </w:p>
    <w:p>
      <w:pPr>
        <w:pStyle w:val="null3"/>
        <w:shd w:fill="FFFFFF"/>
        <w:spacing w:before="0" w:after="0"/>
        <w:ind w:left="0" w:right="0"/>
        <w:jc w:val="both"/>
      </w:pPr>
      <w:r>
        <w:rPr>
          <w:rFonts w:ascii="宋体" w:hAnsi="宋体" w:cs="宋体" w:eastAsia="宋体"/>
          <w:sz w:val="27"/>
          <w:b/>
          <w:color w:val="222222"/>
        </w:rPr>
        <w:t>代表：</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代表：</w:t>
      </w:r>
    </w:p>
    <w:p>
      <w:pPr>
        <w:pStyle w:val="null3"/>
        <w:shd w:fill="FFFFFF"/>
        <w:spacing w:before="0" w:after="0"/>
        <w:ind w:left="0" w:right="0"/>
        <w:jc w:val="both"/>
      </w:pPr>
      <w:r>
        <w:rPr>
          <w:rFonts w:ascii="宋体" w:hAnsi="宋体" w:cs="宋体" w:eastAsia="宋体"/>
          <w:sz w:val="27"/>
          <w:color w:val="222222"/>
        </w:rPr>
        <w:t>签订地点：</w:t>
      </w:r>
    </w:p>
    <w:p>
      <w:pPr>
        <w:pStyle w:val="null3"/>
        <w:shd w:fill="FFFFFF"/>
        <w:spacing w:before="0" w:after="0"/>
        <w:ind w:left="0" w:right="0"/>
        <w:jc w:val="both"/>
      </w:pPr>
      <w:r>
        <w:rPr>
          <w:rFonts w:ascii="宋体" w:hAnsi="宋体" w:cs="宋体" w:eastAsia="宋体"/>
          <w:sz w:val="27"/>
          <w:color w:val="222222"/>
        </w:rPr>
        <w:t>签订日期：　　　年　　月　　日</w:t>
      </w:r>
      <w:r>
        <w:rPr>
          <w:rFonts w:ascii="宋体" w:hAnsi="宋体" w:cs="宋体" w:eastAsia="宋体"/>
          <w:sz w:val="27"/>
          <w:color w:val="222222"/>
        </w:rPr>
        <w:t xml:space="preserve"> </w:t>
      </w:r>
      <w:r>
        <w:rPr>
          <w:rFonts w:ascii="宋体" w:hAnsi="宋体" w:cs="宋体" w:eastAsia="宋体"/>
          <w:sz w:val="27"/>
          <w:color w:val="222222"/>
        </w:rPr>
        <w:t xml:space="preserve"> 签订日期：　　　年　　月　　日</w:t>
      </w:r>
    </w:p>
    <w:p>
      <w:pPr>
        <w:pStyle w:val="null3"/>
        <w:shd w:fill="FFFFFF"/>
        <w:spacing w:before="0" w:after="0"/>
        <w:ind w:left="0" w:right="0"/>
        <w:jc w:val="both"/>
      </w:pPr>
      <w:r>
        <w:rPr>
          <w:rFonts w:ascii="宋体" w:hAnsi="宋体" w:cs="宋体" w:eastAsia="宋体"/>
          <w:sz w:val="27"/>
          <w:color w:val="222222"/>
        </w:rPr>
        <w:t>开户名称：</w:t>
      </w:r>
    </w:p>
    <w:p>
      <w:pPr>
        <w:pStyle w:val="null3"/>
        <w:shd w:fill="FFFFFF"/>
        <w:spacing w:before="0" w:after="0"/>
        <w:ind w:left="0" w:right="0"/>
        <w:jc w:val="both"/>
      </w:pPr>
      <w:r>
        <w:rPr>
          <w:rFonts w:ascii="宋体" w:hAnsi="宋体" w:cs="宋体" w:eastAsia="宋体"/>
          <w:sz w:val="27"/>
          <w:color w:val="222222"/>
        </w:rPr>
        <w:t>银行帐号：</w:t>
      </w:r>
    </w:p>
    <w:p>
      <w:pPr>
        <w:pStyle w:val="null3"/>
        <w:shd w:fill="FFFFFF"/>
        <w:spacing w:before="0" w:after="0"/>
        <w:ind w:left="0" w:right="0"/>
        <w:jc w:val="both"/>
      </w:pPr>
      <w:r>
        <w:rPr>
          <w:rFonts w:ascii="宋体" w:hAnsi="宋体" w:cs="宋体" w:eastAsia="宋体"/>
          <w:sz w:val="27"/>
          <w:color w:val="222222"/>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441226-2025-00858</w:t>
      </w:r>
    </w:p>
    <w:p>
      <w:pPr>
        <w:pStyle w:val="null3"/>
        <w:jc w:val="center"/>
        <w:outlineLvl w:val="3"/>
      </w:pPr>
      <w:r>
        <w:rPr>
          <w:sz w:val="24"/>
          <w:b/>
        </w:rPr>
        <w:t>采购项目编号：</w:t>
      </w:r>
      <w:r>
        <w:rPr>
          <w:sz w:val="24"/>
          <w:b/>
        </w:rPr>
        <w:t>GDXT-2025-16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广东祥泰工程项目管理有限公司</w:t>
      </w:r>
    </w:p>
    <w:p>
      <w:pPr>
        <w:pStyle w:val="null3"/>
        <w:ind w:firstLine="480"/>
      </w:pPr>
      <w:r>
        <w:rPr/>
        <w:t xml:space="preserve"> 你方组织的</w:t>
      </w:r>
      <w:r>
        <w:rPr>
          <w:u w:val="single"/>
        </w:rPr>
        <w:t>“</w:t>
      </w:r>
      <w:r>
        <w:rPr>
          <w:u w:val="single"/>
        </w:rPr>
        <w:t>德庆县2025年森林质量精准提升项目（新造油茶）</w:t>
      </w:r>
      <w:r>
        <w:rPr>
          <w:u w:val="single"/>
        </w:rPr>
        <w:t>”</w:t>
      </w:r>
      <w:r>
        <w:rPr/>
        <w:t>项目的招标[采购项目编号为：</w:t>
      </w:r>
      <w:r>
        <w:rPr>
          <w:u w:val="single"/>
        </w:rPr>
        <w:t>GDXT-2025-16</w:t>
      </w:r>
      <w:r>
        <w:rPr/>
        <w:t>]，我方愿参与投标。</w:t>
      </w:r>
    </w:p>
    <w:p>
      <w:pPr>
        <w:pStyle w:val="null3"/>
        <w:ind w:firstLine="480"/>
      </w:pPr>
      <w:r>
        <w:rPr/>
        <w:t>我方确认收到贵方提供的</w:t>
      </w:r>
      <w:r>
        <w:rPr>
          <w:u w:val="single"/>
        </w:rPr>
        <w:t>“</w:t>
      </w:r>
      <w:r>
        <w:rPr>
          <w:u w:val="single"/>
        </w:rPr>
        <w:t>德庆县2025年森林质量精准提升项目（新造油茶）</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广东祥泰工程项目管理有限公司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德庆县2025年森林质量精准提升项目（新造油茶）</w:t>
      </w:r>
      <w:r>
        <w:rPr/>
        <w:t>”项目采购[采购项目编号为</w:t>
      </w:r>
      <w:r>
        <w:rPr/>
        <w:t>GDXT-2025-16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德庆县林业局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广东祥泰工程项目管理有限公司</w:t>
      </w:r>
    </w:p>
    <w:p>
      <w:pPr>
        <w:pStyle w:val="null3"/>
        <w:ind w:firstLine="480"/>
      </w:pPr>
      <w:r>
        <w:rPr/>
        <w:t xml:space="preserve"> 如果我方在贵采购代理机构组织的</w:t>
      </w:r>
      <w:r>
        <w:rPr/>
        <w:t>德庆县2025年森林质量精准提升项目（新造油茶）</w:t>
      </w:r>
      <w:r>
        <w:rPr/>
        <w:t>招标中获中标（采购项目编号：</w:t>
      </w:r>
      <w:r>
        <w:rPr/>
        <w:t>GDXT-2025-16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广东祥泰工程项目管理有限公司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广东祥泰工程项目管理有限公司</w:t>
      </w:r>
    </w:p>
    <w:p>
      <w:pPr>
        <w:pStyle w:val="null3"/>
        <w:ind w:firstLine="480"/>
      </w:pPr>
      <w:r>
        <w:rPr/>
        <w:t>我单位已登记并准备参与“</w:t>
      </w:r>
      <w:r>
        <w:rPr/>
        <w:t>德庆县2025年森林质量精准提升项目（新造油茶）</w:t>
      </w:r>
      <w:r>
        <w:rPr/>
        <w:t>”项目（采购项目编号：</w:t>
      </w:r>
      <w:r>
        <w:rPr/>
        <w:t>GDXT-2025-16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