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441224-2025-02400</w:t>
      </w:r>
    </w:p>
    <w:p>
      <w:pPr>
        <w:pStyle w:val="null3"/>
        <w:jc w:val="center"/>
        <w:outlineLvl w:val="3"/>
      </w:pPr>
      <w:r>
        <w:rPr>
          <w:sz w:val="24"/>
          <w:b/>
        </w:rPr>
        <w:t>采购项目编号：</w:t>
      </w:r>
      <w:r>
        <w:rPr>
          <w:sz w:val="24"/>
          <w:b/>
        </w:rPr>
        <w:t>GDXT-2025-17</w:t>
      </w:r>
    </w:p>
    <w:p>
      <w:pPr>
        <w:pStyle w:val="null3"/>
        <w:jc w:val="center"/>
        <w:outlineLvl w:val="3"/>
      </w:pPr>
      <w:r>
        <w:rPr>
          <w:sz w:val="24"/>
          <w:b/>
        </w:rPr>
        <w:t>项目名称：</w:t>
      </w:r>
      <w:r>
        <w:rPr>
          <w:sz w:val="24"/>
          <w:b/>
        </w:rPr>
        <w:t>怀集县2025年森林质量精准提升工程（森林抚育）建设项目</w:t>
      </w:r>
    </w:p>
    <w:p>
      <w:pPr>
        <w:pStyle w:val="null3"/>
        <w:jc w:val="center"/>
        <w:outlineLvl w:val="3"/>
      </w:pPr>
      <w:r>
        <w:rPr>
          <w:sz w:val="24"/>
          <w:b/>
        </w:rPr>
        <w:t>采购人：</w:t>
      </w:r>
      <w:r>
        <w:rPr>
          <w:sz w:val="24"/>
          <w:b/>
        </w:rPr>
        <w:t>怀集县林业局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广东祥泰工程项目管理有限公司</w:t>
      </w:r>
      <w:r>
        <w:rPr/>
        <w:t>受</w:t>
      </w:r>
      <w:r>
        <w:rPr/>
        <w:t>怀集县林业局</w:t>
      </w:r>
      <w:r>
        <w:rPr/>
        <w:t>的委托，采用</w:t>
      </w:r>
      <w:r>
        <w:rPr/>
        <w:t>公开招标</w:t>
      </w:r>
      <w:r>
        <w:rPr/>
        <w:t>方式组织采购</w:t>
      </w:r>
      <w:r>
        <w:rPr/>
        <w:t>怀集县2025年森林质量精准提升工程（森林抚育）建设项目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怀集县2025年森林质量精准提升工程（森林抚育）建设项目</w:t>
      </w:r>
    </w:p>
    <w:p>
      <w:pPr>
        <w:pStyle w:val="null3"/>
        <w:ind w:firstLine="480"/>
      </w:pPr>
      <w:r>
        <w:rPr/>
        <w:t>采购计划编号：</w:t>
      </w:r>
      <w:r>
        <w:rPr/>
        <w:t>441224-2025-02400</w:t>
      </w:r>
    </w:p>
    <w:p>
      <w:pPr>
        <w:pStyle w:val="null3"/>
        <w:ind w:firstLine="480"/>
      </w:pPr>
      <w:r>
        <w:rPr/>
        <w:t>采购项目编号：</w:t>
      </w:r>
      <w:r>
        <w:rPr/>
        <w:t>GDXT-2025-17</w:t>
      </w:r>
    </w:p>
    <w:p>
      <w:pPr>
        <w:pStyle w:val="null3"/>
        <w:ind w:firstLine="480"/>
      </w:pPr>
      <w:r>
        <w:rPr/>
        <w:t>采购方式：</w:t>
      </w:r>
      <w:r>
        <w:rPr/>
        <w:t>公开招标</w:t>
      </w:r>
    </w:p>
    <w:p>
      <w:pPr>
        <w:pStyle w:val="null3"/>
        <w:ind w:firstLine="480"/>
      </w:pPr>
      <w:r>
        <w:rPr/>
        <w:t>预算金额：</w:t>
      </w:r>
      <w:r>
        <w:rPr/>
        <w:t>4,520,000.00</w:t>
      </w:r>
      <w:r>
        <w:rPr/>
        <w:t>元</w:t>
      </w:r>
    </w:p>
    <w:p>
      <w:pPr>
        <w:pStyle w:val="null3"/>
        <w:outlineLvl w:val="3"/>
      </w:pPr>
      <w:r>
        <w:rPr>
          <w:sz w:val="24"/>
          <w:b/>
        </w:rPr>
        <w:t>2.项目内容及需求情况（采购项目技术规格、参数及要求）</w:t>
      </w:r>
    </w:p>
    <w:p>
      <w:pPr>
        <w:pStyle w:val="null3"/>
      </w:pPr>
      <w:r>
        <w:rPr/>
        <w:t>采购包1(怀集县2025年森林质量精准提升工程（森林抚育）建设项目):</w:t>
      </w:r>
    </w:p>
    <w:p>
      <w:pPr>
        <w:pStyle w:val="null3"/>
      </w:pPr>
      <w:r>
        <w:rPr/>
        <w:t>采购包预算金额：4,520,000.00元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林木抚育管理服务</w:t>
            </w:r>
          </w:p>
        </w:tc>
        <w:tc>
          <w:tcPr>
            <w:tcW w:type="dxa" w:w="2136"/>
          </w:tcPr>
          <w:p>
            <w:pPr>
              <w:pStyle w:val="null3"/>
            </w:pPr>
            <w:r>
              <w:rPr/>
              <w:t>怀集县2025年森林质量精准提升工程（森林抚育）建设项目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合同履行期限：抚育工作2025年9月30日前完成全部工序。</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采购包1（怀集县2025年森林质量精准提升工程（森林抚育）建设项目）：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采购包1（怀集县2025年森林质量精准提升工程（森林抚育）建设项目）：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怀集县林业局</w:t>
      </w:r>
    </w:p>
    <w:p>
      <w:pPr>
        <w:pStyle w:val="null3"/>
        <w:ind w:firstLine="480"/>
      </w:pPr>
      <w:r>
        <w:rPr/>
        <w:t xml:space="preserve"> 地址：</w:t>
      </w:r>
      <w:r>
        <w:rPr/>
        <w:t>怀集县怀城街道沿江中路139号</w:t>
      </w:r>
    </w:p>
    <w:p>
      <w:pPr>
        <w:pStyle w:val="null3"/>
        <w:ind w:firstLine="480"/>
      </w:pPr>
      <w:r>
        <w:rPr/>
        <w:t xml:space="preserve"> 联系方式：</w:t>
      </w:r>
      <w:r>
        <w:rPr/>
        <w:t>0758-5526343</w:t>
      </w:r>
    </w:p>
    <w:p>
      <w:pPr>
        <w:pStyle w:val="null3"/>
        <w:outlineLvl w:val="3"/>
      </w:pPr>
      <w:r>
        <w:rPr>
          <w:sz w:val="24"/>
          <w:b/>
        </w:rPr>
        <w:t xml:space="preserve"> 2.采购代理机构信息</w:t>
      </w:r>
    </w:p>
    <w:p>
      <w:pPr>
        <w:pStyle w:val="null3"/>
        <w:ind w:firstLine="480"/>
      </w:pPr>
      <w:r>
        <w:rPr/>
        <w:t xml:space="preserve"> 名称：</w:t>
      </w:r>
      <w:r>
        <w:rPr/>
        <w:t>广东祥泰工程项目管理有限公司</w:t>
      </w:r>
    </w:p>
    <w:p>
      <w:pPr>
        <w:pStyle w:val="null3"/>
        <w:ind w:firstLine="480"/>
      </w:pPr>
      <w:r>
        <w:rPr/>
        <w:t xml:space="preserve"> 地址：</w:t>
      </w:r>
      <w:r>
        <w:rPr/>
        <w:t>广东省肇庆市端州区端州区78区祥福路南侧鸿景悦园一幢二层写字楼204室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抚育林地概况</w:t>
      </w:r>
    </w:p>
    <w:p>
      <w:pPr>
        <w:pStyle w:val="null3"/>
        <w:ind w:firstLine="400"/>
      </w:pPr>
      <w:r>
        <w:rPr/>
        <w:t>抚育林地项目地规划在海拔</w:t>
      </w:r>
      <w:r>
        <w:rPr/>
        <w:t>50~490</w:t>
      </w:r>
      <w:r>
        <w:rPr/>
        <w:t xml:space="preserve">米之间，坡度在 </w:t>
      </w:r>
      <w:r>
        <w:rPr/>
        <w:t>25~45</w:t>
      </w:r>
      <w:r>
        <w:rPr/>
        <w:t xml:space="preserve">°的乔木林地，林下植被主要有大芒、杂灌、杂草等。规划抚育林地 </w:t>
      </w:r>
      <w:r>
        <w:rPr/>
        <w:t xml:space="preserve">16900 </w:t>
      </w:r>
      <w:r>
        <w:rPr/>
        <w:t>亩。</w:t>
      </w:r>
    </w:p>
    <w:p>
      <w:pPr>
        <w:pStyle w:val="null3"/>
      </w:pPr>
      <w:r>
        <w:rPr/>
        <w:t>2.</w:t>
      </w:r>
      <w:r>
        <w:rPr/>
        <w:t>林地现状</w:t>
      </w:r>
    </w:p>
    <w:p>
      <w:pPr>
        <w:pStyle w:val="null3"/>
        <w:ind w:firstLine="400"/>
      </w:pPr>
      <w:r>
        <w:rPr/>
        <w:t>作业区林地造林年度为</w:t>
      </w:r>
      <w:r>
        <w:rPr/>
        <w:t xml:space="preserve">2007 </w:t>
      </w:r>
      <w:r>
        <w:rPr/>
        <w:t>年、</w:t>
      </w:r>
      <w:r>
        <w:rPr/>
        <w:t xml:space="preserve">2008 </w:t>
      </w:r>
      <w:r>
        <w:rPr/>
        <w:t>年、</w:t>
      </w:r>
      <w:r>
        <w:rPr/>
        <w:t xml:space="preserve">2015 </w:t>
      </w:r>
      <w:r>
        <w:rPr/>
        <w:t xml:space="preserve">年和 </w:t>
      </w:r>
      <w:r>
        <w:rPr/>
        <w:t xml:space="preserve">2021 </w:t>
      </w:r>
      <w:r>
        <w:rPr/>
        <w:t xml:space="preserve">年 树种组成以阔叶混交林为主，林木平均树高为 </w:t>
      </w:r>
      <w:r>
        <w:rPr/>
        <w:t xml:space="preserve">5.5 </w:t>
      </w:r>
      <w:r>
        <w:rPr/>
        <w:t xml:space="preserve">米，林地主要植 被为三叉苦、芒草、芒箕等，植被盖度约 </w:t>
      </w:r>
      <w:r>
        <w:rPr/>
        <w:t xml:space="preserve">70% </w:t>
      </w:r>
      <w:r>
        <w:rPr/>
        <w:t xml:space="preserve">。各造林类型保存株 数情况是：中龄林更新改造前保存平均 </w:t>
      </w:r>
      <w:r>
        <w:rPr/>
        <w:t xml:space="preserve">78 </w:t>
      </w:r>
      <w:r>
        <w:rPr/>
        <w:t>株</w:t>
      </w:r>
      <w:r>
        <w:rPr/>
        <w:t>/</w:t>
      </w:r>
      <w:r>
        <w:rPr/>
        <w:t xml:space="preserve">亩，建设完成后目标 密度平均约 </w:t>
      </w:r>
      <w:r>
        <w:rPr/>
        <w:t xml:space="preserve">74 </w:t>
      </w:r>
      <w:r>
        <w:rPr/>
        <w:t>株</w:t>
      </w:r>
      <w:r>
        <w:rPr/>
        <w:t>/</w:t>
      </w:r>
      <w:r>
        <w:rPr/>
        <w:t xml:space="preserve">亩。幼龄林更新改造前保存平均 </w:t>
      </w:r>
      <w:r>
        <w:rPr/>
        <w:t xml:space="preserve">89 </w:t>
      </w:r>
      <w:r>
        <w:rPr/>
        <w:t>株</w:t>
      </w:r>
      <w:r>
        <w:rPr/>
        <w:t>/</w:t>
      </w:r>
      <w:r>
        <w:rPr/>
        <w:t xml:space="preserve">亩，建设 完成后目标密度平均约 </w:t>
      </w:r>
      <w:r>
        <w:rPr/>
        <w:t xml:space="preserve">85 </w:t>
      </w:r>
      <w:r>
        <w:rPr/>
        <w:t>株</w:t>
      </w:r>
      <w:r>
        <w:rPr/>
        <w:t>/</w:t>
      </w:r>
      <w:r>
        <w:rPr/>
        <w:t>亩。</w:t>
      </w:r>
    </w:p>
    <w:p>
      <w:pPr>
        <w:pStyle w:val="null3"/>
      </w:pPr>
      <w:r>
        <w:rPr/>
        <w:t>3.</w:t>
      </w:r>
      <w:r>
        <w:rPr/>
        <w:t>设计布局</w:t>
      </w:r>
    </w:p>
    <w:p>
      <w:pPr>
        <w:pStyle w:val="null3"/>
        <w:ind w:firstLine="400"/>
      </w:pPr>
      <w:r>
        <w:rPr/>
        <w:t>本次抚育任务为</w:t>
      </w:r>
      <w:r>
        <w:rPr/>
        <w:t xml:space="preserve">1126.66 </w:t>
      </w:r>
      <w:r>
        <w:rPr/>
        <w:t>公顷（</w:t>
      </w:r>
      <w:r>
        <w:rPr/>
        <w:t xml:space="preserve">16900 </w:t>
      </w:r>
      <w:r>
        <w:rPr/>
        <w:t xml:space="preserve">亩），共分为 </w:t>
      </w:r>
      <w:r>
        <w:rPr/>
        <w:t xml:space="preserve">92 </w:t>
      </w:r>
      <w:r>
        <w:rPr/>
        <w:t xml:space="preserve">个抚育 作业小班。其中幼龄林抚育 </w:t>
      </w:r>
      <w:r>
        <w:rPr/>
        <w:t xml:space="preserve">4483.82 </w:t>
      </w:r>
      <w:r>
        <w:rPr/>
        <w:t xml:space="preserve">亩，占总任务的 </w:t>
      </w:r>
      <w:r>
        <w:rPr/>
        <w:t xml:space="preserve">26.53% </w:t>
      </w:r>
      <w:r>
        <w:rPr/>
        <w:t xml:space="preserve">，中龄 林抚育 </w:t>
      </w:r>
      <w:r>
        <w:rPr/>
        <w:t xml:space="preserve">12416. 18 </w:t>
      </w:r>
      <w:r>
        <w:rPr/>
        <w:t xml:space="preserve">亩，占总任务的 </w:t>
      </w:r>
      <w:r>
        <w:rPr/>
        <w:t xml:space="preserve">73.47% </w:t>
      </w:r>
      <w:r>
        <w:rPr/>
        <w:t xml:space="preserve">。分布在怀集县的坳仔镇、 凤岗镇、中洲镇、大岗镇、怀城街道、冷坑镇、连麦镇、梁村镇、 马宁镇、桥头镇、下帅乡、诗洞镇和永固镇，各镇抚育面积见表 </w:t>
      </w:r>
      <w:r>
        <w:rPr/>
        <w:t>1</w:t>
      </w:r>
      <w:r>
        <w:rPr/>
        <w:t>，</w:t>
      </w:r>
    </w:p>
    <w:p>
      <w:pPr>
        <w:pStyle w:val="null3"/>
        <w:ind w:left="3150"/>
        <w:jc w:val="left"/>
      </w:pPr>
      <w:r>
        <w:rPr>
          <w:sz w:val="21"/>
          <w:color w:val="000000"/>
        </w:rPr>
        <w:t>表</w:t>
      </w:r>
      <w:r>
        <w:rPr>
          <w:sz w:val="21"/>
          <w:color w:val="000000"/>
        </w:rPr>
        <w:t>1</w:t>
      </w:r>
      <w:r>
        <w:rPr>
          <w:sz w:val="21"/>
          <w:color w:val="000000"/>
        </w:rPr>
        <w:t>各镇抚育面积统计表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11"/>
        <w:gridCol w:w="3551"/>
        <w:gridCol w:w="3565"/>
      </w:tblGrid>
      <w:tr>
        <w:tc>
          <w:tcPr>
            <w:tcW w:type="dxa" w:w="4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810"/>
              <w:jc w:val="left"/>
            </w:pPr>
            <w:r>
              <w:rPr>
                <w:sz w:val="21"/>
                <w:color w:val="000000"/>
              </w:rPr>
              <w:t>乡镇（街道）</w:t>
            </w:r>
          </w:p>
        </w:tc>
        <w:tc>
          <w:tcPr>
            <w:tcW w:type="dxa" w:w="3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720"/>
              <w:jc w:val="left"/>
            </w:pPr>
            <w:r>
              <w:rPr>
                <w:sz w:val="21"/>
                <w:color w:val="000000"/>
              </w:rPr>
              <w:t>面积（亩）</w:t>
            </w:r>
          </w:p>
        </w:tc>
        <w:tc>
          <w:tcPr>
            <w:tcW w:type="dxa" w:w="3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170"/>
              <w:jc w:val="left"/>
            </w:pPr>
            <w:r>
              <w:rPr>
                <w:sz w:val="21"/>
                <w:color w:val="000000"/>
              </w:rPr>
              <w:t>比例</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0"/>
              <w:jc w:val="left"/>
            </w:pPr>
            <w:r>
              <w:rPr>
                <w:sz w:val="21"/>
                <w:color w:val="000000"/>
              </w:rPr>
              <w:t>坳仔</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10"/>
            </w:pPr>
            <w:r>
              <w:rPr>
                <w:sz w:val="21"/>
                <w:color w:val="000000"/>
              </w:rPr>
              <w:t>52.33</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0"/>
            </w:pPr>
            <w:r>
              <w:rPr>
                <w:sz w:val="21"/>
                <w:color w:val="000000"/>
              </w:rPr>
              <w:t>0.31%</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65"/>
              <w:jc w:val="left"/>
            </w:pPr>
            <w:r>
              <w:rPr>
                <w:sz w:val="21"/>
                <w:color w:val="000000"/>
              </w:rPr>
              <w:t>凤岗</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0"/>
            </w:pPr>
            <w:r>
              <w:rPr>
                <w:sz w:val="21"/>
                <w:color w:val="000000"/>
              </w:rPr>
              <w:t>131.08</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0"/>
            </w:pPr>
            <w:r>
              <w:rPr>
                <w:sz w:val="21"/>
                <w:color w:val="000000"/>
              </w:rPr>
              <w:t>0.78%</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80"/>
              <w:jc w:val="left"/>
            </w:pPr>
            <w:r>
              <w:rPr>
                <w:sz w:val="21"/>
                <w:color w:val="000000"/>
              </w:rPr>
              <w:t>中洲</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35"/>
            </w:pPr>
            <w:r>
              <w:rPr>
                <w:sz w:val="21"/>
                <w:color w:val="000000"/>
              </w:rPr>
              <w:t>3693.4</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75"/>
            </w:pPr>
            <w:r>
              <w:rPr>
                <w:sz w:val="21"/>
                <w:color w:val="000000"/>
              </w:rPr>
              <w:t>21.85%</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65"/>
              <w:jc w:val="left"/>
            </w:pPr>
            <w:r>
              <w:rPr>
                <w:sz w:val="21"/>
                <w:color w:val="000000"/>
              </w:rPr>
              <w:t>大岗</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95"/>
            </w:pPr>
            <w:r>
              <w:rPr>
                <w:sz w:val="21"/>
                <w:color w:val="000000"/>
              </w:rPr>
              <w:t>376.2</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0"/>
            </w:pPr>
            <w:r>
              <w:rPr>
                <w:sz w:val="21"/>
                <w:color w:val="000000"/>
              </w:rPr>
              <w:t>2.23%</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jc w:val="left"/>
            </w:pPr>
            <w:r>
              <w:rPr>
                <w:sz w:val="21"/>
                <w:color w:val="000000"/>
              </w:rPr>
              <w:t>怀城街道</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60"/>
            </w:pPr>
            <w:r>
              <w:rPr>
                <w:sz w:val="21"/>
                <w:color w:val="000000"/>
              </w:rPr>
              <w:t>3646.25</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75"/>
            </w:pPr>
            <w:r>
              <w:rPr>
                <w:sz w:val="21"/>
                <w:color w:val="000000"/>
              </w:rPr>
              <w:t>21.58%</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65"/>
              <w:jc w:val="left"/>
            </w:pPr>
            <w:r>
              <w:rPr>
                <w:sz w:val="21"/>
                <w:color w:val="000000"/>
              </w:rPr>
              <w:t>冷坑</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60"/>
            </w:pPr>
            <w:r>
              <w:rPr>
                <w:sz w:val="21"/>
                <w:color w:val="000000"/>
              </w:rPr>
              <w:t>2471.14</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05"/>
            </w:pPr>
            <w:r>
              <w:rPr>
                <w:sz w:val="21"/>
                <w:color w:val="000000"/>
              </w:rPr>
              <w:t>14.62%</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65"/>
              <w:jc w:val="left"/>
            </w:pPr>
            <w:r>
              <w:rPr>
                <w:sz w:val="21"/>
                <w:color w:val="000000"/>
              </w:rPr>
              <w:t>连麦</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35"/>
            </w:pPr>
            <w:r>
              <w:rPr>
                <w:sz w:val="21"/>
                <w:color w:val="000000"/>
              </w:rPr>
              <w:t>747.49</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0"/>
            </w:pPr>
            <w:r>
              <w:rPr>
                <w:sz w:val="21"/>
                <w:color w:val="000000"/>
              </w:rPr>
              <w:t>4.42%</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0"/>
              <w:jc w:val="left"/>
            </w:pPr>
            <w:r>
              <w:rPr>
                <w:sz w:val="21"/>
                <w:color w:val="000000"/>
              </w:rPr>
              <w:t>梁村</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60"/>
            </w:pPr>
            <w:r>
              <w:rPr>
                <w:sz w:val="21"/>
                <w:color w:val="000000"/>
              </w:rPr>
              <w:t>3041.61</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005"/>
            </w:pPr>
            <w:r>
              <w:rPr>
                <w:sz w:val="21"/>
                <w:color w:val="000000"/>
              </w:rPr>
              <w:t>18.00%</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65"/>
              <w:jc w:val="left"/>
            </w:pPr>
            <w:r>
              <w:rPr>
                <w:sz w:val="21"/>
                <w:color w:val="000000"/>
              </w:rPr>
              <w:t>马宁</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35"/>
            </w:pPr>
            <w:r>
              <w:rPr>
                <w:sz w:val="21"/>
                <w:color w:val="000000"/>
              </w:rPr>
              <w:t>387.85</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0"/>
            </w:pPr>
            <w:r>
              <w:rPr>
                <w:sz w:val="21"/>
                <w:color w:val="000000"/>
              </w:rPr>
              <w:t>2.29%</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0"/>
              <w:jc w:val="left"/>
            </w:pPr>
            <w:r>
              <w:rPr>
                <w:sz w:val="21"/>
                <w:color w:val="000000"/>
              </w:rPr>
              <w:t>桥头</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0"/>
            </w:pPr>
            <w:r>
              <w:rPr>
                <w:sz w:val="21"/>
                <w:color w:val="000000"/>
              </w:rPr>
              <w:t>173.17</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sz w:val="21"/>
                <w:color w:val="000000"/>
              </w:rPr>
              <w:t>1.02%</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65"/>
              <w:jc w:val="left"/>
            </w:pPr>
            <w:r>
              <w:rPr>
                <w:sz w:val="21"/>
                <w:color w:val="000000"/>
              </w:rPr>
              <w:t>诗洞</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0"/>
            </w:pPr>
            <w:r>
              <w:rPr>
                <w:sz w:val="21"/>
                <w:color w:val="000000"/>
              </w:rPr>
              <w:t>1303.6</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050"/>
            </w:pPr>
            <w:r>
              <w:rPr>
                <w:sz w:val="21"/>
                <w:color w:val="000000"/>
              </w:rPr>
              <w:t>7.71%</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65"/>
              <w:jc w:val="left"/>
            </w:pPr>
            <w:r>
              <w:rPr>
                <w:sz w:val="21"/>
                <w:color w:val="000000"/>
              </w:rPr>
              <w:t>下帅</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20"/>
            </w:pPr>
            <w:r>
              <w:rPr>
                <w:sz w:val="21"/>
                <w:color w:val="000000"/>
              </w:rPr>
              <w:t>479.73</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0"/>
            </w:pPr>
            <w:r>
              <w:rPr>
                <w:sz w:val="21"/>
                <w:color w:val="000000"/>
              </w:rPr>
              <w:t>2.84%</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65"/>
              <w:jc w:val="left"/>
            </w:pPr>
            <w:r>
              <w:rPr>
                <w:sz w:val="21"/>
                <w:color w:val="000000"/>
              </w:rPr>
              <w:t>永固</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35"/>
            </w:pPr>
            <w:r>
              <w:rPr>
                <w:sz w:val="21"/>
                <w:color w:val="000000"/>
              </w:rPr>
              <w:t>396.15</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0"/>
            </w:pPr>
            <w:r>
              <w:rPr>
                <w:sz w:val="21"/>
                <w:color w:val="000000"/>
              </w:rPr>
              <w:t>2.34%</w:t>
            </w:r>
          </w:p>
        </w:tc>
      </w:tr>
      <w:tr>
        <w:tc>
          <w:tcPr>
            <w:tcW w:type="dxa" w:w="4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65"/>
              <w:jc w:val="left"/>
            </w:pPr>
            <w:r>
              <w:rPr>
                <w:sz w:val="21"/>
                <w:color w:val="000000"/>
              </w:rPr>
              <w:t>合计</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95"/>
            </w:pPr>
            <w:r>
              <w:rPr>
                <w:sz w:val="21"/>
                <w:color w:val="000000"/>
              </w:rPr>
              <w:t>16900</w:t>
            </w:r>
          </w:p>
        </w:tc>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110"/>
            </w:pPr>
            <w:r>
              <w:rPr>
                <w:sz w:val="21"/>
                <w:color w:val="000000"/>
              </w:rPr>
              <w:t>100%</w:t>
            </w:r>
          </w:p>
        </w:tc>
      </w:tr>
    </w:tbl>
    <w:p>
      <w:pPr>
        <w:pStyle w:val="null3"/>
      </w:pPr>
      <w:r>
        <w:rPr>
          <w:sz w:val="28"/>
          <w:b/>
        </w:rPr>
        <w:t>二</w:t>
      </w:r>
      <w:r>
        <w:rPr>
          <w:sz w:val="28"/>
          <w:b/>
        </w:rPr>
        <w:t>、抚育类型设计</w:t>
      </w:r>
    </w:p>
    <w:p>
      <w:pPr>
        <w:pStyle w:val="null3"/>
        <w:ind w:firstLine="400"/>
      </w:pPr>
      <w:r>
        <w:rPr/>
        <w:t>根据各小班立地条件及现状等综合因素，本设计共涉及中龄林</w:t>
      </w:r>
      <w:r>
        <w:rPr/>
        <w:t>和幼龄林抚育两种作业设计类型。中龄林抚育以疏伐、修枝、割灌除</w:t>
      </w:r>
      <w:r>
        <w:rPr/>
        <w:t>草、松土、扩穴、追肥和培土等为主；幼龄林以修枝、割灌除草、</w:t>
      </w:r>
      <w:r>
        <w:rPr/>
        <w:t>松土、扩穴、追肥和培土等措施为主。具体措施及技术要求如下：</w:t>
      </w:r>
    </w:p>
    <w:p>
      <w:pPr>
        <w:pStyle w:val="null3"/>
      </w:pPr>
      <w:r>
        <w:rPr/>
        <w:t>（一）</w:t>
      </w:r>
      <w:r>
        <w:rPr/>
        <w:t>中龄林抚育</w:t>
      </w:r>
    </w:p>
    <w:p>
      <w:pPr>
        <w:pStyle w:val="null3"/>
      </w:pPr>
      <w:r>
        <w:rPr/>
        <w:t>1.</w:t>
      </w:r>
      <w:r>
        <w:rPr/>
        <w:t>疏伐</w:t>
      </w:r>
    </w:p>
    <w:p>
      <w:pPr>
        <w:pStyle w:val="null3"/>
      </w:pPr>
      <w:r>
        <w:rPr/>
        <w:t>伐除密度过大、生长不良的林木</w:t>
      </w:r>
      <w:r>
        <w:rPr/>
        <w:t xml:space="preserve">, </w:t>
      </w:r>
      <w:r>
        <w:rPr/>
        <w:t>间密留匀、去劣留优</w:t>
      </w:r>
      <w:r>
        <w:rPr/>
        <w:t>,</w:t>
      </w:r>
      <w:r>
        <w:rPr/>
        <w:t>进一步调整林分树种和空间结构</w:t>
      </w:r>
      <w:r>
        <w:rPr/>
        <w:t>,</w:t>
      </w:r>
      <w:r>
        <w:rPr/>
        <w:t>为目标树或保留木留出适宜的营养空间。</w:t>
      </w:r>
    </w:p>
    <w:p>
      <w:pPr>
        <w:pStyle w:val="null3"/>
      </w:pPr>
      <w:r>
        <w:rPr/>
        <w:t>2.</w:t>
      </w:r>
      <w:r>
        <w:rPr/>
        <w:t>修枝、割灌除草</w:t>
      </w:r>
    </w:p>
    <w:p>
      <w:pPr>
        <w:pStyle w:val="null3"/>
      </w:pPr>
      <w:r>
        <w:rPr/>
        <w:t>修去枯死枝和树冠下部</w:t>
      </w:r>
      <w:r>
        <w:rPr/>
        <w:t xml:space="preserve"> 1 </w:t>
      </w:r>
      <w:r>
        <w:rPr/>
        <w:t>轮</w:t>
      </w:r>
      <w:r>
        <w:rPr/>
        <w:t xml:space="preserve">~2 </w:t>
      </w:r>
      <w:r>
        <w:rPr/>
        <w:t xml:space="preserve">轮活枝；修枝后保留冠长不低于 树高的 </w:t>
      </w:r>
      <w:r>
        <w:rPr/>
        <w:t xml:space="preserve">2/3 </w:t>
      </w:r>
      <w:r>
        <w:rPr/>
        <w:t xml:space="preserve">。以植株为中心，带状割灌除草 </w:t>
      </w:r>
      <w:r>
        <w:rPr/>
        <w:t xml:space="preserve">1 </w:t>
      </w:r>
      <w:r>
        <w:rPr/>
        <w:t>米</w:t>
      </w:r>
      <w:r>
        <w:rPr/>
        <w:t>×1</w:t>
      </w:r>
      <w:r>
        <w:rPr/>
        <w:t xml:space="preserve">米，砍除对目标 树种明显遮光的桃金娘、黄牛木等灌木，并用机械或人工的方式全 面清除块状内的芒箕等杂草。清除时，须尽量贴近地面清除，清除 后，杂草草根高度不得超过 </w:t>
      </w:r>
      <w:r>
        <w:rPr/>
        <w:t xml:space="preserve">5 </w:t>
      </w:r>
      <w:r>
        <w:rPr/>
        <w:t>厘米。同时，全面清理目标树种树体 上的各种藤本，以免藤本攀附遮蔽树体而影响植株正常生长。</w:t>
      </w:r>
    </w:p>
    <w:p>
      <w:pPr>
        <w:pStyle w:val="null3"/>
      </w:pPr>
      <w:r>
        <w:rPr/>
        <w:t>3.</w:t>
      </w:r>
      <w:r>
        <w:rPr/>
        <w:t>松土、扩穴</w:t>
      </w:r>
    </w:p>
    <w:p>
      <w:pPr>
        <w:pStyle w:val="null3"/>
      </w:pPr>
      <w:r>
        <w:rPr/>
        <w:t>割灌除草后，以植株为中心，对半径</w:t>
      </w:r>
      <w:r>
        <w:rPr/>
        <w:t xml:space="preserve"> 0.50 </w:t>
      </w:r>
      <w:r>
        <w:rPr/>
        <w:t xml:space="preserve">米范围内的土壤进行 内浅外深松土，松土深度 </w:t>
      </w:r>
      <w:r>
        <w:rPr/>
        <w:t xml:space="preserve">0. 10 </w:t>
      </w:r>
      <w:r>
        <w:rPr/>
        <w:t>米以上。</w:t>
      </w:r>
    </w:p>
    <w:p>
      <w:pPr>
        <w:pStyle w:val="null3"/>
      </w:pPr>
      <w:r>
        <w:rPr/>
        <w:t>4.</w:t>
      </w:r>
      <w:r>
        <w:rPr/>
        <w:t>追肥</w:t>
      </w:r>
    </w:p>
    <w:p>
      <w:pPr>
        <w:pStyle w:val="null3"/>
      </w:pPr>
      <w:r>
        <w:rPr/>
        <w:t>扩穴松土后，在目标树种树冠投影外沿的上坡处，开挖</w:t>
      </w:r>
      <w:r>
        <w:rPr/>
        <w:t xml:space="preserve"> 20 </w:t>
      </w:r>
      <w:r>
        <w:rPr/>
        <w:t>厘米</w:t>
      </w:r>
      <w:r>
        <w:rPr/>
        <w:t xml:space="preserve">×20 </w:t>
      </w:r>
      <w:r>
        <w:rPr/>
        <w:t>厘米</w:t>
      </w:r>
      <w:r>
        <w:rPr/>
        <w:t xml:space="preserve">×20 </w:t>
      </w:r>
      <w:r>
        <w:rPr/>
        <w:t>厘米的施肥沟，将肥料均匀施放于沟底，并充分混 合泥土后覆盖泥土，防止雨水冲刷流失。追肥规格为林业普通复合 肥（</w:t>
      </w:r>
      <w:r>
        <w:rPr/>
        <w:t xml:space="preserve">N </w:t>
      </w:r>
      <w:r>
        <w:rPr/>
        <w:t>、</w:t>
      </w:r>
      <w:r>
        <w:rPr/>
        <w:t xml:space="preserve">P </w:t>
      </w:r>
      <w:r>
        <w:rPr/>
        <w:t>、</w:t>
      </w:r>
      <w:r>
        <w:rPr/>
        <w:t xml:space="preserve">K </w:t>
      </w:r>
      <w:r>
        <w:rPr/>
        <w:t>有效含量</w:t>
      </w:r>
      <w:r>
        <w:rPr/>
        <w:t>≥30%</w:t>
      </w:r>
      <w:r>
        <w:rPr/>
        <w:t xml:space="preserve">），结合植株实际生长情况，追肥标 准分为 </w:t>
      </w:r>
      <w:r>
        <w:rPr/>
        <w:t xml:space="preserve">0.30 </w:t>
      </w:r>
      <w:r>
        <w:rPr/>
        <w:t>千克</w:t>
      </w:r>
      <w:r>
        <w:rPr/>
        <w:t>/</w:t>
      </w:r>
      <w:r>
        <w:rPr/>
        <w:t>株。</w:t>
      </w:r>
    </w:p>
    <w:p>
      <w:pPr>
        <w:pStyle w:val="null3"/>
      </w:pPr>
      <w:r>
        <w:rPr/>
        <w:t>5.</w:t>
      </w:r>
      <w:r>
        <w:rPr/>
        <w:t>培土</w:t>
      </w:r>
    </w:p>
    <w:p>
      <w:pPr>
        <w:pStyle w:val="null3"/>
      </w:pPr>
      <w:r>
        <w:rPr/>
        <w:t>完成以上工序后进行培土。培土时，以植株为中心，将植穴内</w:t>
      </w:r>
      <w:r>
        <w:rPr/>
        <w:t>的表土、心土等回覆在植株周边，形成半径为</w:t>
      </w:r>
      <w:r>
        <w:rPr/>
        <w:t xml:space="preserve"> 0.50 </w:t>
      </w:r>
      <w:r>
        <w:rPr/>
        <w:t>米的圆形平台，并高出地面</w:t>
      </w:r>
      <w:r>
        <w:rPr/>
        <w:t>5</w:t>
      </w:r>
      <w:r>
        <w:rPr/>
        <w:t>厘米以上。</w:t>
      </w:r>
    </w:p>
    <w:p>
      <w:pPr>
        <w:pStyle w:val="null3"/>
      </w:pPr>
      <w:r>
        <w:rPr/>
        <w:t>6.</w:t>
      </w:r>
      <w:r>
        <w:rPr/>
        <w:t>抚育时间</w:t>
      </w:r>
    </w:p>
    <w:p>
      <w:pPr>
        <w:pStyle w:val="null3"/>
      </w:pPr>
      <w:r>
        <w:rPr/>
        <w:t>抚育工作</w:t>
      </w:r>
      <w:r>
        <w:rPr/>
        <w:t>2025</w:t>
      </w:r>
      <w:r>
        <w:rPr/>
        <w:t>年</w:t>
      </w:r>
      <w:r>
        <w:rPr/>
        <w:t>9</w:t>
      </w:r>
      <w:r>
        <w:rPr/>
        <w:t>月</w:t>
      </w:r>
      <w:r>
        <w:rPr/>
        <w:t>30</w:t>
      </w:r>
      <w:r>
        <w:rPr/>
        <w:t>日前完成全部工序</w:t>
      </w:r>
      <w:r>
        <w:rPr/>
        <w:t>。</w:t>
      </w:r>
    </w:p>
    <w:p>
      <w:pPr>
        <w:pStyle w:val="null3"/>
      </w:pPr>
      <w:r>
        <w:rPr/>
        <w:t>（二）幼龄林抚育</w:t>
      </w:r>
    </w:p>
    <w:p>
      <w:pPr>
        <w:pStyle w:val="null3"/>
      </w:pPr>
      <w:r>
        <w:rPr/>
        <w:t>1.</w:t>
      </w:r>
      <w:r>
        <w:rPr/>
        <w:t>修枝、割灌除草</w:t>
      </w:r>
    </w:p>
    <w:p>
      <w:pPr>
        <w:pStyle w:val="null3"/>
      </w:pPr>
      <w:r>
        <w:rPr/>
        <w:t>修去枯死枝和树冠下部</w:t>
      </w:r>
      <w:r>
        <w:rPr/>
        <w:t xml:space="preserve"> 1 </w:t>
      </w:r>
      <w:r>
        <w:rPr/>
        <w:t>轮</w:t>
      </w:r>
      <w:r>
        <w:rPr/>
        <w:t xml:space="preserve">~2 </w:t>
      </w:r>
      <w:r>
        <w:rPr/>
        <w:t xml:space="preserve">轮活枝；修枝后保留冠长不低于 树高的 </w:t>
      </w:r>
      <w:r>
        <w:rPr/>
        <w:t xml:space="preserve">2/3 </w:t>
      </w:r>
      <w:r>
        <w:rPr/>
        <w:t xml:space="preserve">。以植株为中心，带状割灌除草 </w:t>
      </w:r>
      <w:r>
        <w:rPr/>
        <w:t xml:space="preserve">1 </w:t>
      </w:r>
      <w:r>
        <w:rPr/>
        <w:t>米</w:t>
      </w:r>
      <w:r>
        <w:rPr/>
        <w:t>×1</w:t>
      </w:r>
      <w:r>
        <w:rPr/>
        <w:t xml:space="preserve">米，砍除对目标 树种明显遮光的桃金娘、黄牛木等灌木，并用机械或人工的方式全 面清除块状内的芒箕等杂草。清除时，须尽量贴近地面清除，清除 后，杂草草根高度不得超过 </w:t>
      </w:r>
      <w:r>
        <w:rPr/>
        <w:t xml:space="preserve">5 </w:t>
      </w:r>
      <w:r>
        <w:rPr/>
        <w:t>厘米。同时，全面清理目标树种树体 上的各种藤本，以免藤本攀附遮蔽树体而影响植株正常生长。</w:t>
      </w:r>
    </w:p>
    <w:p>
      <w:pPr>
        <w:pStyle w:val="null3"/>
      </w:pPr>
      <w:r>
        <w:rPr/>
        <w:t>2.</w:t>
      </w:r>
      <w:r>
        <w:rPr/>
        <w:t>松土、扩穴</w:t>
      </w:r>
    </w:p>
    <w:p>
      <w:pPr>
        <w:pStyle w:val="null3"/>
      </w:pPr>
      <w:r>
        <w:rPr/>
        <w:t>割灌除草后，以植株为中心，对半径</w:t>
      </w:r>
      <w:r>
        <w:rPr/>
        <w:t xml:space="preserve"> 0.50 </w:t>
      </w:r>
      <w:r>
        <w:rPr/>
        <w:t xml:space="preserve">米范围内的土壤进行 内浅外深松土，松土深度 </w:t>
      </w:r>
      <w:r>
        <w:rPr/>
        <w:t xml:space="preserve">0. 10 </w:t>
      </w:r>
      <w:r>
        <w:rPr/>
        <w:t>米以上。</w:t>
      </w:r>
    </w:p>
    <w:p>
      <w:pPr>
        <w:pStyle w:val="null3"/>
      </w:pPr>
      <w:r>
        <w:rPr/>
        <w:t>3.</w:t>
      </w:r>
      <w:r>
        <w:rPr/>
        <w:t>追肥</w:t>
      </w:r>
    </w:p>
    <w:p>
      <w:pPr>
        <w:pStyle w:val="null3"/>
      </w:pPr>
      <w:r>
        <w:rPr/>
        <w:t>扩穴松土后，在目标树种树冠投影外沿的上坡处，开挖</w:t>
      </w:r>
      <w:r>
        <w:rPr/>
        <w:t xml:space="preserve"> 20 </w:t>
      </w:r>
      <w:r>
        <w:rPr/>
        <w:t>厘米</w:t>
      </w:r>
      <w:r>
        <w:rPr/>
        <w:t xml:space="preserve">×20 </w:t>
      </w:r>
      <w:r>
        <w:rPr/>
        <w:t>厘米</w:t>
      </w:r>
      <w:r>
        <w:rPr/>
        <w:t xml:space="preserve">×20 </w:t>
      </w:r>
      <w:r>
        <w:rPr/>
        <w:t>厘米的施肥沟，将肥料均匀施放于沟底，并充分混 合泥土后覆盖泥土，防止雨水冲刷流失。追肥规格为林业普通复合肥（</w:t>
      </w:r>
      <w:r>
        <w:rPr/>
        <w:t xml:space="preserve">N </w:t>
      </w:r>
      <w:r>
        <w:rPr/>
        <w:t>、</w:t>
      </w:r>
      <w:r>
        <w:rPr/>
        <w:t xml:space="preserve">P </w:t>
      </w:r>
      <w:r>
        <w:rPr/>
        <w:t>、</w:t>
      </w:r>
      <w:r>
        <w:rPr/>
        <w:t xml:space="preserve">K </w:t>
      </w:r>
      <w:r>
        <w:rPr/>
        <w:t>有效含量</w:t>
      </w:r>
      <w:r>
        <w:rPr/>
        <w:t>≥30%</w:t>
      </w:r>
      <w:r>
        <w:rPr/>
        <w:t xml:space="preserve">），结合植株实际生长情况，追肥标 准分为 </w:t>
      </w:r>
      <w:r>
        <w:rPr/>
        <w:t xml:space="preserve">0.30 </w:t>
      </w:r>
      <w:r>
        <w:rPr/>
        <w:t>千克</w:t>
      </w:r>
      <w:r>
        <w:rPr/>
        <w:t>/</w:t>
      </w:r>
      <w:r>
        <w:rPr/>
        <w:t>株。</w:t>
      </w:r>
    </w:p>
    <w:p>
      <w:pPr>
        <w:pStyle w:val="null3"/>
      </w:pPr>
      <w:r>
        <w:rPr/>
        <w:t>4.</w:t>
      </w:r>
      <w:r>
        <w:rPr/>
        <w:t>培土</w:t>
      </w:r>
    </w:p>
    <w:p>
      <w:pPr>
        <w:pStyle w:val="null3"/>
      </w:pPr>
      <w:r>
        <w:rPr/>
        <w:t>完成以上工序后进行培土。培土时，以植株为中心，将植穴内</w:t>
      </w:r>
      <w:r>
        <w:rPr/>
        <w:t>的表土、心土等回覆在植株周边，形成半径为</w:t>
      </w:r>
      <w:r>
        <w:rPr/>
        <w:t xml:space="preserve"> 0.50 </w:t>
      </w:r>
      <w:r>
        <w:rPr/>
        <w:t xml:space="preserve">米的圆形平台，并高出地面 </w:t>
      </w:r>
      <w:r>
        <w:rPr/>
        <w:t xml:space="preserve">5 </w:t>
      </w:r>
      <w:r>
        <w:rPr/>
        <w:t>厘米以上。</w:t>
      </w:r>
    </w:p>
    <w:p>
      <w:pPr>
        <w:pStyle w:val="null3"/>
      </w:pPr>
      <w:r>
        <w:rPr/>
        <w:t>5.</w:t>
      </w:r>
      <w:r>
        <w:rPr/>
        <w:t>抚育时间</w:t>
      </w:r>
    </w:p>
    <w:p>
      <w:pPr>
        <w:pStyle w:val="null3"/>
      </w:pPr>
      <w:r>
        <w:rPr/>
        <w:t>抚育工作</w:t>
      </w:r>
      <w:r>
        <w:rPr/>
        <w:t>2025</w:t>
      </w:r>
      <w:r>
        <w:rPr/>
        <w:t>年</w:t>
      </w:r>
      <w:r>
        <w:rPr/>
        <w:t>9</w:t>
      </w:r>
      <w:r>
        <w:rPr/>
        <w:t>月</w:t>
      </w:r>
      <w:r>
        <w:rPr/>
        <w:t>30</w:t>
      </w:r>
      <w:r>
        <w:rPr/>
        <w:t>日前完成全部工序</w:t>
      </w:r>
      <w:r>
        <w:rPr/>
        <w:t>。</w:t>
      </w:r>
    </w:p>
    <w:p>
      <w:pPr>
        <w:pStyle w:val="null3"/>
      </w:pPr>
      <w:r>
        <w:rPr>
          <w:sz w:val="28"/>
          <w:b/>
        </w:rPr>
        <w:t>三、工程量</w:t>
      </w:r>
    </w:p>
    <w:p>
      <w:pPr>
        <w:pStyle w:val="null3"/>
        <w:spacing w:before="255"/>
        <w:ind w:left="30" w:right="465" w:firstLine="577"/>
        <w:jc w:val="left"/>
      </w:pPr>
      <w:r>
        <w:rPr>
          <w:sz w:val="21"/>
          <w:color w:val="000000"/>
        </w:rPr>
        <w:t>怀集县</w:t>
      </w:r>
      <w:r>
        <w:rPr>
          <w:sz w:val="21"/>
          <w:color w:val="000000"/>
        </w:rPr>
        <w:t xml:space="preserve"> </w:t>
      </w:r>
      <w:r>
        <w:rPr>
          <w:sz w:val="21"/>
          <w:color w:val="000000"/>
        </w:rPr>
        <w:t>2025 年森林质量精准提升工程（森林抚育）建设项目</w:t>
      </w:r>
      <w:r>
        <w:rPr>
          <w:sz w:val="21"/>
          <w:color w:val="000000"/>
        </w:rPr>
        <w:t>的工程量为</w:t>
      </w:r>
      <w:r>
        <w:rPr>
          <w:sz w:val="21"/>
          <w:color w:val="000000"/>
        </w:rPr>
        <w:t xml:space="preserve"> </w:t>
      </w:r>
      <w:r>
        <w:rPr>
          <w:sz w:val="21"/>
          <w:color w:val="000000"/>
        </w:rPr>
        <w:t>1126.66</w:t>
      </w:r>
      <w:r>
        <w:rPr>
          <w:sz w:val="21"/>
          <w:color w:val="000000"/>
        </w:rPr>
        <w:t xml:space="preserve"> </w:t>
      </w:r>
      <w:r>
        <w:rPr>
          <w:sz w:val="21"/>
          <w:color w:val="000000"/>
        </w:rPr>
        <w:t>公顷（</w:t>
      </w:r>
      <w:r>
        <w:rPr>
          <w:sz w:val="21"/>
          <w:color w:val="000000"/>
        </w:rPr>
        <w:t>16900 亩）。</w:t>
      </w:r>
    </w:p>
    <w:p>
      <w:pPr>
        <w:pStyle w:val="null3"/>
      </w:pPr>
      <w:r>
        <w:rPr>
          <w:sz w:val="28"/>
          <w:b/>
        </w:rPr>
        <w:t>四、物资需求量</w:t>
      </w:r>
    </w:p>
    <w:p>
      <w:pPr>
        <w:pStyle w:val="null3"/>
        <w:spacing w:before="255"/>
        <w:ind w:right="465" w:firstLine="603"/>
        <w:jc w:val="left"/>
      </w:pPr>
      <w:r>
        <w:rPr>
          <w:sz w:val="21"/>
          <w:color w:val="000000"/>
        </w:rPr>
        <w:t>怀集县</w:t>
      </w:r>
      <w:r>
        <w:rPr>
          <w:sz w:val="21"/>
          <w:color w:val="000000"/>
        </w:rPr>
        <w:t xml:space="preserve"> </w:t>
      </w:r>
      <w:r>
        <w:rPr>
          <w:sz w:val="21"/>
          <w:color w:val="000000"/>
        </w:rPr>
        <w:t>2025 年森林质量精准提升工程（森林抚育）建设项目</w:t>
      </w:r>
      <w:r>
        <w:rPr>
          <w:sz w:val="21"/>
          <w:color w:val="000000"/>
        </w:rPr>
        <w:t>共需肥料</w:t>
      </w:r>
      <w:r>
        <w:rPr>
          <w:sz w:val="21"/>
          <w:color w:val="000000"/>
        </w:rPr>
        <w:t xml:space="preserve"> </w:t>
      </w:r>
      <w:r>
        <w:rPr>
          <w:sz w:val="21"/>
          <w:color w:val="000000"/>
        </w:rPr>
        <w:t>386454.05千克</w:t>
      </w:r>
      <w:r>
        <w:rPr>
          <w:sz w:val="21"/>
          <w:color w:val="000000"/>
        </w:rPr>
        <w:t xml:space="preserve"> </w:t>
      </w:r>
      <w:r>
        <w:rPr>
          <w:sz w:val="21"/>
          <w:color w:val="000000"/>
        </w:rPr>
        <w:t>，详见附表</w:t>
      </w:r>
      <w:r>
        <w:rPr>
          <w:sz w:val="21"/>
          <w:color w:val="000000"/>
        </w:rPr>
        <w:t xml:space="preserve"> </w:t>
      </w:r>
      <w:r>
        <w:rPr>
          <w:sz w:val="21"/>
          <w:color w:val="000000"/>
        </w:rPr>
        <w:t>2。</w:t>
      </w:r>
    </w:p>
    <w:p>
      <w:pPr>
        <w:pStyle w:val="null3"/>
        <w:ind w:left="300"/>
        <w:jc w:val="center"/>
      </w:pPr>
      <w:r>
        <w:rPr>
          <w:sz w:val="21"/>
          <w:color w:val="000000"/>
        </w:rPr>
        <w:t>表</w:t>
      </w:r>
      <w:r>
        <w:rPr>
          <w:sz w:val="21"/>
          <w:color w:val="000000"/>
        </w:rPr>
        <w:t xml:space="preserve"> </w:t>
      </w:r>
      <w:r>
        <w:rPr>
          <w:sz w:val="21"/>
          <w:color w:val="000000"/>
        </w:rPr>
        <w:t>2</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1126"/>
        <w:gridCol w:w="1627"/>
        <w:gridCol w:w="2267"/>
        <w:gridCol w:w="3158"/>
        <w:gridCol w:w="3033"/>
      </w:tblGrid>
      <w:tr>
        <w:tc>
          <w:tcPr>
            <w:tcW w:type="dxa" w:w="112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sz w:val="21"/>
                <w:color w:val="000000"/>
              </w:rPr>
              <w:t>项目</w:t>
            </w:r>
          </w:p>
        </w:tc>
        <w:tc>
          <w:tcPr>
            <w:tcW w:type="dxa" w:w="16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面积（亩）</w:t>
            </w:r>
          </w:p>
        </w:tc>
        <w:tc>
          <w:tcPr>
            <w:tcW w:type="dxa" w:w="3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right="15"/>
              <w:jc w:val="center"/>
            </w:pPr>
            <w:r>
              <w:rPr>
                <w:sz w:val="21"/>
                <w:color w:val="000000"/>
              </w:rPr>
              <w:t>目标株数（株</w:t>
            </w:r>
            <w:r>
              <w:rPr>
                <w:sz w:val="21"/>
                <w:color w:val="000000"/>
              </w:rPr>
              <w:t>/亩）</w:t>
            </w:r>
          </w:p>
        </w:tc>
        <w:tc>
          <w:tcPr>
            <w:tcW w:type="dxa" w:w="30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75"/>
              <w:jc w:val="left"/>
            </w:pPr>
            <w:r>
              <w:rPr>
                <w:sz w:val="21"/>
                <w:color w:val="000000"/>
              </w:rPr>
              <w:t>肥料（千克）</w:t>
            </w:r>
          </w:p>
        </w:tc>
      </w:tr>
      <w:tr>
        <w:tc>
          <w:tcPr>
            <w:tcW w:type="dxa" w:w="1126"/>
            <w:vMerge/>
            <w:tcBorders>
              <w:top w:val="single" w:color="000000" w:sz="4"/>
              <w:left w:val="single" w:color="000000" w:sz="4"/>
              <w:bottom w:val="none" w:color="000000" w:sz="4"/>
              <w:right w:val="single" w:color="000000" w:sz="4"/>
            </w:tcBorders>
          </w:tcPr>
          <w:p/>
        </w:tc>
        <w:tc>
          <w:tcPr>
            <w:tcW w:type="dxa" w:w="1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40"/>
              <w:jc w:val="left"/>
            </w:pPr>
            <w:r>
              <w:rPr>
                <w:sz w:val="21"/>
                <w:color w:val="000000"/>
              </w:rPr>
              <w:t>幼龄林</w:t>
            </w:r>
          </w:p>
        </w:tc>
        <w:tc>
          <w:tcPr>
            <w:tcW w:type="dxa" w:w="2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20"/>
              <w:jc w:val="left"/>
            </w:pPr>
            <w:r>
              <w:rPr>
                <w:sz w:val="21"/>
                <w:color w:val="000000"/>
              </w:rPr>
              <w:t>3416.38</w:t>
            </w:r>
          </w:p>
        </w:tc>
        <w:tc>
          <w:tcPr>
            <w:tcW w:type="dxa" w:w="3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25"/>
              <w:jc w:val="left"/>
            </w:pPr>
            <w:r>
              <w:rPr>
                <w:sz w:val="21"/>
                <w:color w:val="000000"/>
              </w:rPr>
              <w:t>85</w:t>
            </w:r>
          </w:p>
        </w:tc>
        <w:tc>
          <w:tcPr>
            <w:tcW w:type="dxa" w:w="30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60"/>
              <w:jc w:val="left"/>
            </w:pPr>
            <w:r>
              <w:rPr>
                <w:sz w:val="21"/>
                <w:color w:val="000000"/>
              </w:rPr>
              <w:t>87117.69</w:t>
            </w:r>
          </w:p>
        </w:tc>
      </w:tr>
      <w:tr>
        <w:tc>
          <w:tcPr>
            <w:tcW w:type="dxa" w:w="1126"/>
            <w:vMerge/>
            <w:tcBorders>
              <w:top w:val="single" w:color="000000" w:sz="4"/>
              <w:left w:val="single" w:color="000000" w:sz="4"/>
              <w:bottom w:val="none" w:color="000000" w:sz="4"/>
              <w:right w:val="single" w:color="000000" w:sz="4"/>
            </w:tcBorders>
          </w:tcPr>
          <w:p/>
        </w:tc>
        <w:tc>
          <w:tcPr>
            <w:tcW w:type="dxa" w:w="1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left"/>
            </w:pPr>
            <w:r>
              <w:rPr>
                <w:sz w:val="21"/>
                <w:color w:val="000000"/>
              </w:rPr>
              <w:t>中龄林</w:t>
            </w:r>
          </w:p>
        </w:tc>
        <w:tc>
          <w:tcPr>
            <w:tcW w:type="dxa" w:w="2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75"/>
              <w:jc w:val="left"/>
            </w:pPr>
            <w:r>
              <w:rPr>
                <w:sz w:val="21"/>
                <w:color w:val="000000"/>
              </w:rPr>
              <w:t>13483.62</w:t>
            </w:r>
          </w:p>
        </w:tc>
        <w:tc>
          <w:tcPr>
            <w:tcW w:type="dxa" w:w="3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40"/>
              <w:jc w:val="left"/>
            </w:pPr>
            <w:r>
              <w:rPr>
                <w:sz w:val="21"/>
                <w:color w:val="000000"/>
              </w:rPr>
              <w:t>74</w:t>
            </w:r>
          </w:p>
        </w:tc>
        <w:tc>
          <w:tcPr>
            <w:tcW w:type="dxa" w:w="30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85"/>
              <w:jc w:val="left"/>
            </w:pPr>
            <w:r>
              <w:rPr>
                <w:sz w:val="21"/>
                <w:color w:val="000000"/>
              </w:rPr>
              <w:t>299336.36</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80"/>
              <w:jc w:val="left"/>
            </w:pPr>
            <w:r>
              <w:rPr>
                <w:sz w:val="21"/>
                <w:color w:val="000000"/>
              </w:rPr>
              <w:t>合计</w:t>
            </w:r>
          </w:p>
        </w:tc>
        <w:tc>
          <w:tcPr>
            <w:tcW w:type="dxa" w:w="1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16900</w:t>
            </w:r>
          </w:p>
        </w:tc>
        <w:tc>
          <w:tcPr>
            <w:tcW w:type="dxa" w:w="3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386454.05</w:t>
            </w:r>
          </w:p>
        </w:tc>
      </w:tr>
    </w:tbl>
    <w:p>
      <w:pPr>
        <w:pStyle w:val="null3"/>
      </w:pPr>
      <w:r>
        <w:rPr/>
        <w:t>采购包1（怀集县2025年森林质量精准提升工程（森林抚育）建设项目）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抚育工作2025年9月30日前完成全部工序。</w:t>
            </w:r>
          </w:p>
        </w:tc>
      </w:tr>
      <w:tr>
        <w:tc>
          <w:tcPr>
            <w:tcW w:type="dxa" w:w="4153"/>
          </w:tcPr>
          <w:p>
            <w:pPr>
              <w:pStyle w:val="null3"/>
            </w:pPr>
            <w:r>
              <w:rPr/>
              <w:t>标的提供的地点</w:t>
            </w:r>
          </w:p>
        </w:tc>
        <w:tc>
          <w:tcPr>
            <w:tcW w:type="dxa" w:w="4153"/>
          </w:tcPr>
          <w:p>
            <w:pPr>
              <w:pStyle w:val="null3"/>
            </w:pPr>
            <w:r>
              <w:rPr/>
              <w:t>肇庆市怀集县（采购人指定地点）。</w:t>
            </w:r>
          </w:p>
        </w:tc>
      </w:tr>
      <w:tr>
        <w:tc>
          <w:tcPr>
            <w:tcW w:type="dxa" w:w="4153"/>
          </w:tcPr>
          <w:p>
            <w:pPr>
              <w:pStyle w:val="null3"/>
            </w:pPr>
            <w:r>
              <w:rPr/>
              <w:t>付款方式</w:t>
            </w:r>
          </w:p>
        </w:tc>
        <w:tc>
          <w:tcPr>
            <w:tcW w:type="dxa" w:w="4153"/>
          </w:tcPr>
          <w:p>
            <w:pPr>
              <w:pStyle w:val="null3"/>
            </w:pPr>
            <w:r>
              <w:rPr/>
              <w:t>1期：支付比例30%,签订合同后5个工作日内，由采购人向成交人支付合同总价款的30%作为预付款；。</w:t>
            </w:r>
          </w:p>
          <w:p>
            <w:pPr>
              <w:pStyle w:val="null3"/>
            </w:pPr>
            <w:r>
              <w:rPr/>
              <w:t>2期：支付比例50%,项目完工且实施补植、抚育并由监理方出具施工进度证明并经甲方确认后15日内，支付项目合同金额的50%；。</w:t>
            </w:r>
          </w:p>
          <w:p>
            <w:pPr>
              <w:pStyle w:val="null3"/>
            </w:pPr>
            <w:r>
              <w:rPr/>
              <w:t>3期：支付比例20%,县验收合格后15日内，向成交人支付合同总价款的20%。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1期：1期：（1）加强项目工程进度、工程质量和资金到位及使用情况的检查，对项目实施全过程监督。并聘请监理公司进行工程监理。 （2）按照批复的项目相关内容文件和有关合同对项目完成情 况进行自查。具备验收条件的，应及时编制验收报告和财务结 算报告，报请上级林业行政主管部门验收。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投标人须针对本项目制定的突发事件处理措施（包括但不限于：人身安全意外事故、运输过程事故、施工过程事故、不可抗力事故等）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怀集县2025年森林质量精准提升工程（森林抚育）建设项目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4,520,000.00</w:t>
            </w:r>
          </w:p>
        </w:tc>
        <w:tc>
          <w:tcPr>
            <w:tcW w:type="dxa" w:w="933"/>
          </w:tcPr>
          <w:p>
            <w:pPr>
              <w:pStyle w:val="null3"/>
              <w:jc w:val="right"/>
            </w:pPr>
            <w:r>
              <w:rPr/>
              <w:t>4,520,000.00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怀集县2025年森林质量精准提升工程（森林抚育）建设项目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怀集县林业局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；请各投标人在投标文件递交截止时间前按须知前附表规定的金额递交至</w:t>
      </w:r>
      <w:r>
        <w:rPr/>
        <w:t>广东祥泰工程项目管理有限公司</w:t>
      </w:r>
      <w:r>
        <w:rPr/>
        <w:t>，到账情况以开标时</w:t>
      </w:r>
      <w:r>
        <w:rPr/>
        <w:t>广东祥泰工程项目管理有限公司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广东祥泰工程项目管理有限公司网（http://www.xtgcxm.com）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广东祥泰工程项目管理有限公司网（http://www.xtgcxm.com）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怀集县2025年森林质量精准提升工程（森林抚育）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采购包1（怀集县2025年森林质量精准提升工程（森林抚育）建设项目）：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采购包1（怀集县2025年森林质量精准提升工程（森林抚育）建设项目）：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采购包1（怀集县2025年森林质量精准提升工程（森林抚育）建设项目）：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抚育工作2025年9月30日前完成全部工序。</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采购包1(怀集县2025年森林质量精准提升工程（森林抚育）建设项目):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项目的理解及分析 (10.0分)</w:t>
            </w:r>
          </w:p>
        </w:tc>
        <w:tc>
          <w:tcPr>
            <w:tcW w:type="dxa" w:w="5076"/>
          </w:tcPr>
          <w:p>
            <w:pPr>
              <w:pStyle w:val="null3"/>
              <w:jc w:val="left"/>
            </w:pPr>
            <w:r>
              <w:rPr/>
              <w:t>投标供应商提供的对本项目工作内容的分析，在项目工作内容的基础上提供的项目关键性问题、重点难点分析、解决思路和技术方案进行综合评审:（1）对项目关键性问题和重点难点问题的理解和把握分析透彻，并提出的解决思路和技术方案可行性高，得10分;（2）对项目关键性问题和重点难点问题的理解和把握分析好，并提出的解决思路和技术方案具有一定的可行性，得7分;（3）对项目关键性问题和重点难点问题的理解和把握分析不全面未提出的解决思路，技术方案可行性差，得4分;（4）对项目关键性问题和重点难点问题未理解，未提出的解决思路，技术方案不具备可行性，得1分;（5）不提供方案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供应商所提供的项目实施方案进行综合评审（包括但不限于：技术、物资、劳动组织准备、管理、实施重难点等）：（1）项目实施方案内容描述全面，方案思路严谨、清晰，提供的各项方案合理，内容齐全，易于实行，项目实施过程中的重点难点分析全面准确，相应提出的建议针对性强的，得15分； （2）项目实施方案内容描述详细合理，方案思路较为清晰，能结合项目实际情况，大部分满足项目需求，项目实施过程中的重点难点分析基本准确，相应提出的建议有一定的针对性的，得10分； （3）项目实施方案内容含糊，方案有欠缺或者描述简单，可操作一般，针对性一般，不能完全满足项目需求的，得5分； （4）项目实施方案内容缺失严重或各项描述内容与本项目不相关，不能满足项目需求的，得1分； （5）不提供方案不得分。</w:t>
            </w:r>
          </w:p>
        </w:tc>
      </w:tr>
      <w:tr>
        <w:tc>
          <w:tcPr>
            <w:tcW w:type="dxa" w:w="922"/>
            <w:gridSpan w:val="2"/>
            <w:vMerge/>
          </w:tcPr>
          <w:p/>
        </w:tc>
        <w:tc>
          <w:tcPr>
            <w:tcW w:type="dxa" w:w="2307"/>
          </w:tcPr>
          <w:p>
            <w:pPr>
              <w:pStyle w:val="null3"/>
              <w:jc w:val="left"/>
            </w:pPr>
            <w:r>
              <w:rPr/>
              <w:t>项目实施进度计划 (15.0分)</w:t>
            </w:r>
          </w:p>
        </w:tc>
        <w:tc>
          <w:tcPr>
            <w:tcW w:type="dxa" w:w="5076"/>
          </w:tcPr>
          <w:p>
            <w:pPr>
              <w:pStyle w:val="null3"/>
              <w:jc w:val="left"/>
            </w:pPr>
            <w:r>
              <w:rPr/>
              <w:t>根据投标供应商所提供的项目实施进度计划进行综合评审（包括实施过程计划、完成期计划安排和实施进度计划保障措施等）进行评分：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（2）提供的项目实施进度计划基本满足实施要求的，完成期计划安排和实施进度计划保障措施较全面，符合本项目实际情况，各阶段进度计划保证体系措施大部分有效、有一定的可行性，得10分； （3）提供的项目实施进度计划基本满足实施要求的，完成期计划安排和实施进度计划保障措施一般，方案措施具有一定的合理性和可行性，但未体现在进度能提供保障，得5分； （4）提供的项目实施进度计划缺乏合理性，完成期计划安排和实施进度计划保障措施未具备可行性的，难以为实施过程提供保障的工作安排及其保证措施，内容缺失严重，没有针对性，得1分； （5）不提供方案不得分。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供应商所提供的质量保障措施进行综合评审（包括但不限于：质量目标、质量管理、质量保障措施等）：（1）提供的质量目标、质量管理和质量保障措施内容表达清晰，内容深度贴合，有效的保障项目质量，执行程度高，完全满足或优于采购需求，得10分； （2）提供的质量目标、质量管理和质量保障措施符合本项目实际情况，能保障项目质量，针对性较强、可行性较高，大部分满足采购需求的，得7分； （3）提供的质量目标、质量管理和质量保障措施存在欠缺之处，难以保障项目质量，实际操作有一定难度，不能完全满足项目需求，得4分； （4）提供的质量目标、质量管理和质量保障措施不合理、没有针对性、可操作差，不能满足项目需求的，得1分； （5）不提供方案不得分。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不能完全满足项目需求的，得4分；（4）安全管理措施、安全文明措施、环境保护措施方案不合理，可操作性、可行性差的，不能满足项目需求的，得1分；（5）不提供方案不得分。</w:t>
            </w:r>
          </w:p>
        </w:tc>
      </w:tr>
      <w:tr>
        <w:tc>
          <w:tcPr>
            <w:tcW w:type="dxa" w:w="922"/>
            <w:gridSpan w:val="2"/>
            <w:vMerge/>
          </w:tcPr>
          <w:p/>
        </w:tc>
        <w:tc>
          <w:tcPr>
            <w:tcW w:type="dxa" w:w="2307"/>
          </w:tcPr>
          <w:p>
            <w:pPr>
              <w:pStyle w:val="null3"/>
              <w:jc w:val="left"/>
            </w:pPr>
            <w:r>
              <w:rPr/>
              <w:t>突发事件处理措施 (10.0分)</w:t>
            </w:r>
          </w:p>
        </w:tc>
        <w:tc>
          <w:tcPr>
            <w:tcW w:type="dxa" w:w="5076"/>
          </w:tcPr>
          <w:p>
            <w:pPr>
              <w:pStyle w:val="null3"/>
              <w:jc w:val="left"/>
            </w:pPr>
            <w:r>
              <w:rPr/>
              <w:t>根据投标供应商所提供的突发事件处理措施进行综合评审（包括但不限于：人身安全意外事故、运输过程事故、施工过程事故、不可抗力事故等）：（1）投标供应商具备完善的突发事件处理措，能根据项目特点，有效分析可能出现的紧急情况及类别，按不同情况制定出突发事件处理保障方案，方案论证清晰、安排合理、可操作性强，及时解决突发事件，能快速完成采购人提出的应急任务，得10分； （2）投标供应商具备比较完善的突发事件处理措，能根据项目特点，有效分析及制定出突发事件处理保障方案，方案论证基本清晰 ，安排较为合理、具备一定的可操作性，但实施过程复杂繁琐的，不能快速完成采购人提出的应急任务，得7分 ； （3）投标供应商具备不太完善的突发事件处理措，能制定出突发事件处理保障方案，但方案欠缺合理安排，可操作性一般，难以解决突发事件及采购人提出的应急任务，得4分； （4）突发事件处理措方案简单，可操作性、可行性差，无法解决突发事件及采购人提出的应急任务，得1分（5）不提供方案不得分。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2022年1月1日至今（以合同签订时间为准）投标供应商承接过的同类项目业绩，每提供1个项目得2分，最高得8分。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项目负责人具有林业或园林等相关专业中级（或以上）职称的，得6分；具有林业或园林等相关专业初级职称的，得3分。 本项最高得6分。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(6.0分)</w:t>
            </w:r>
          </w:p>
        </w:tc>
        <w:tc>
          <w:tcPr>
            <w:tcW w:type="dxa" w:w="5076"/>
          </w:tcPr>
          <w:p>
            <w:pPr>
              <w:pStyle w:val="null3"/>
              <w:jc w:val="left"/>
            </w:pPr>
            <w:r>
              <w:rPr/>
              <w:t>投入的其他人员中具有林业或园林等相关专业中级（或以上）职称的，得6分；具有林业或园林等相关专业助理工程师职称的，得3分；本项最高得6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shd w:fill="FFFFFF" w:val="clea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br/>
      </w:r>
      <w:r>
        <w:rPr>
          <w:shd w:fill="FFFFFF" w:val="clear"/>
        </w:rPr>
        <w:t xml:space="preserve">  </w:t>
      </w:r>
    </w:p>
    <w:p>
      <w:pPr>
        <w:pStyle w:val="null3"/>
        <w:jc w:val="center"/>
      </w:pPr>
      <w:r>
        <w:rPr>
          <w:sz w:val="21"/>
          <w:color w:val="222222"/>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1"/>
          <w:color w:val="222222"/>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1"/>
          <w:color w:val="222222"/>
          <w:shd w:fill="FFFFFF" w:val="clear"/>
        </w:rPr>
        <w:t>项目名称：</w:t>
      </w:r>
      <w:r>
        <w:rPr>
          <w:u w:val="single"/>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br/>
      </w:r>
      <w:r>
        <w:rPr>
          <w:shd w:fill="FFFFFF" w:val="clear"/>
        </w:rPr>
        <w:t xml:space="preserve">  </w:t>
      </w:r>
    </w:p>
    <w:p>
      <w:pPr>
        <w:pStyle w:val="null3"/>
        <w:jc w:val="both"/>
      </w:pPr>
      <w:r>
        <w:rPr>
          <w:sz w:val="21"/>
          <w:b/>
          <w:color w:val="222222"/>
          <w:shd w:fill="FFFFFF" w:val="clear"/>
        </w:rPr>
        <w:t>甲方：</w:t>
      </w:r>
      <w:r>
        <w:rPr>
          <w:b/>
          <w:u w:val="single"/>
          <w:shd w:fill="FFFFFF" w:val="clear"/>
        </w:rPr>
        <w:t xml:space="preserve">  </w:t>
      </w:r>
    </w:p>
    <w:p>
      <w:pPr>
        <w:pStyle w:val="null3"/>
        <w:jc w:val="both"/>
      </w:pPr>
      <w:r>
        <w:rPr>
          <w:sz w:val="21"/>
          <w:color w:val="222222"/>
          <w:shd w:fill="FFFFFF" w:val="clear"/>
        </w:rPr>
        <w:t>电话：</w:t>
      </w:r>
      <w:r>
        <w:rPr>
          <w:b/>
          <w:u w:val="single"/>
          <w:shd w:fill="FFFFFF" w:val="clear"/>
        </w:rPr>
        <w:t xml:space="preserve">  </w:t>
      </w:r>
      <w:r>
        <w:rPr>
          <w:sz w:val="21"/>
          <w:color w:val="222222"/>
          <w:shd w:fill="FFFFFF" w:val="clear"/>
        </w:rPr>
        <w:t>传真</w:t>
      </w:r>
      <w:r>
        <w:rPr>
          <w:sz w:val="21"/>
          <w:color w:val="222222"/>
          <w:shd w:fill="FFFFFF" w:val="clear"/>
        </w:rPr>
        <w:t>：</w:t>
      </w:r>
      <w:r>
        <w:rPr>
          <w:b/>
          <w:u w:val="single"/>
          <w:shd w:fill="FFFFFF" w:val="clear"/>
        </w:rPr>
        <w:t xml:space="preserve">  </w:t>
      </w:r>
      <w:r>
        <w:rPr>
          <w:sz w:val="21"/>
          <w:color w:val="222222"/>
          <w:shd w:fill="FFFFFF" w:val="clear"/>
        </w:rPr>
        <w:t>地址：</w:t>
      </w:r>
      <w:r>
        <w:rPr>
          <w:b/>
          <w:u w:val="single"/>
          <w:shd w:fill="FFFFFF" w:val="clear"/>
        </w:rPr>
        <w:t xml:space="preserve">   </w:t>
      </w:r>
    </w:p>
    <w:p>
      <w:pPr>
        <w:pStyle w:val="null3"/>
        <w:jc w:val="both"/>
      </w:pPr>
      <w:r>
        <w:rPr>
          <w:sz w:val="21"/>
          <w:b/>
          <w:color w:val="222222"/>
          <w:shd w:fill="FFFFFF" w:val="clear"/>
        </w:rPr>
        <w:t>乙方：</w:t>
      </w:r>
      <w:r>
        <w:rPr>
          <w:b/>
          <w:u w:val="single"/>
          <w:shd w:fill="FFFFFF" w:val="clear"/>
        </w:rPr>
        <w:t xml:space="preserve">  </w:t>
      </w:r>
    </w:p>
    <w:p>
      <w:pPr>
        <w:pStyle w:val="null3"/>
        <w:jc w:val="both"/>
      </w:pPr>
      <w:r>
        <w:rPr>
          <w:sz w:val="21"/>
          <w:color w:val="222222"/>
          <w:shd w:fill="FFFFFF" w:val="clear"/>
        </w:rPr>
        <w:t>电话：</w:t>
      </w:r>
      <w:r>
        <w:rPr>
          <w:b/>
          <w:u w:val="single"/>
          <w:shd w:fill="FFFFFF" w:val="clear"/>
        </w:rPr>
        <w:t xml:space="preserve">   </w:t>
      </w:r>
      <w:r>
        <w:rPr>
          <w:sz w:val="21"/>
          <w:color w:val="222222"/>
          <w:shd w:fill="FFFFFF" w:val="clear"/>
        </w:rPr>
        <w:t>传真：</w:t>
      </w:r>
      <w:r>
        <w:rPr>
          <w:b/>
          <w:u w:val="single"/>
          <w:shd w:fill="FFFFFF" w:val="clear"/>
        </w:rPr>
        <w:t xml:space="preserve">   </w:t>
      </w:r>
      <w:r>
        <w:rPr>
          <w:sz w:val="21"/>
          <w:color w:val="222222"/>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1"/>
          <w:color w:val="222222"/>
          <w:shd w:fill="FFFFFF" w:val="clear"/>
        </w:rPr>
        <w:t xml:space="preserve">  </w:t>
      </w: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(合同编)》的规定，经双方协商，本着平等互利和诚实信用的原则，一致同意遵守本合同如下。</w:t>
      </w:r>
    </w:p>
    <w:p>
      <w:pPr>
        <w:pStyle w:val="null3"/>
        <w:jc w:val="both"/>
      </w:pPr>
      <w:r>
        <w:rPr>
          <w:sz w:val="21"/>
          <w:b/>
          <w:color w:val="222222"/>
          <w:shd w:fill="FFFFFF" w:val="clear"/>
        </w:rPr>
        <w:t>一、合同金额</w:t>
      </w:r>
    </w:p>
    <w:p>
      <w:pPr>
        <w:pStyle w:val="null3"/>
        <w:jc w:val="both"/>
      </w:pPr>
      <w:r>
        <w:rPr>
          <w:sz w:val="21"/>
          <w:color w:val="222222"/>
          <w:shd w:fill="FFFFFF" w:val="clear"/>
        </w:rPr>
        <w:t>　　合同金额为（大写）：</w:t>
      </w:r>
      <w:r>
        <w:rPr>
          <w:sz w:val="21"/>
          <w:color w:val="222222"/>
          <w:shd w:fill="FFFFFF" w:val="clear"/>
        </w:rPr>
        <w:t>_____________元（￥_________元）人民币。</w:t>
      </w:r>
    </w:p>
    <w:p>
      <w:pPr>
        <w:pStyle w:val="null3"/>
        <w:jc w:val="both"/>
      </w:pPr>
      <w:r>
        <w:rPr>
          <w:sz w:val="21"/>
          <w:b/>
          <w:color w:val="222222"/>
          <w:shd w:fill="FFFFFF" w:val="clear"/>
        </w:rPr>
        <w:t>二、服务范围</w:t>
      </w:r>
    </w:p>
    <w:p>
      <w:pPr>
        <w:pStyle w:val="null3"/>
        <w:jc w:val="both"/>
      </w:pPr>
      <w:r>
        <w:rPr>
          <w:sz w:val="21"/>
          <w:color w:val="222222"/>
          <w:shd w:fill="FFFFFF" w:val="clear"/>
        </w:rPr>
        <w:t>　　甲方聘请乙方提供以下服务：</w:t>
      </w:r>
    </w:p>
    <w:p>
      <w:pPr>
        <w:pStyle w:val="null3"/>
        <w:jc w:val="both"/>
      </w:pPr>
      <w:r>
        <w:rPr>
          <w:sz w:val="21"/>
          <w:color w:val="222222"/>
          <w:shd w:fill="FFFFFF" w:val="clear"/>
        </w:rPr>
        <w:t>1．</w:t>
      </w:r>
      <w:r>
        <w:rPr>
          <w:sz w:val="21"/>
          <w:color w:val="222222"/>
          <w:shd w:fill="FFFFFF" w:val="clear"/>
        </w:rPr>
        <w:t>。</w:t>
      </w:r>
    </w:p>
    <w:p>
      <w:pPr>
        <w:pStyle w:val="null3"/>
        <w:jc w:val="both"/>
      </w:pPr>
      <w:r>
        <w:rPr>
          <w:sz w:val="21"/>
          <w:color w:val="222222"/>
          <w:shd w:fill="FFFFFF" w:val="clear"/>
        </w:rPr>
        <w:t>2．</w:t>
      </w:r>
    </w:p>
    <w:p>
      <w:pPr>
        <w:pStyle w:val="null3"/>
        <w:jc w:val="both"/>
      </w:pPr>
      <w:r>
        <w:rPr>
          <w:sz w:val="21"/>
          <w:color w:val="222222"/>
          <w:shd w:fill="FFFFFF" w:val="clear"/>
        </w:rPr>
        <w:t>……</w:t>
      </w:r>
    </w:p>
    <w:p>
      <w:pPr>
        <w:pStyle w:val="null3"/>
        <w:jc w:val="both"/>
      </w:pPr>
      <w:r>
        <w:rPr>
          <w:sz w:val="21"/>
          <w:b/>
          <w:color w:val="222222"/>
          <w:shd w:fill="FFFFFF" w:val="clear"/>
        </w:rPr>
        <w:t>三、甲方乙方的权利和义务</w:t>
      </w:r>
    </w:p>
    <w:p>
      <w:pPr>
        <w:pStyle w:val="null3"/>
        <w:jc w:val="both"/>
      </w:pPr>
      <w:r>
        <w:rPr>
          <w:sz w:val="21"/>
          <w:color w:val="222222"/>
          <w:shd w:fill="FFFFFF" w:val="clear"/>
        </w:rPr>
        <w:t>1.甲方的权利和义务</w:t>
      </w:r>
    </w:p>
    <w:p>
      <w:pPr>
        <w:pStyle w:val="null3"/>
        <w:jc w:val="both"/>
      </w:pPr>
      <w:r>
        <w:rPr>
          <w:sz w:val="21"/>
          <w:color w:val="222222"/>
          <w:shd w:fill="FFFFFF" w:val="clear"/>
        </w:rPr>
        <w:t>2.乙方的权利和义务</w:t>
      </w:r>
    </w:p>
    <w:p>
      <w:pPr>
        <w:pStyle w:val="null3"/>
        <w:jc w:val="both"/>
      </w:pPr>
      <w:r>
        <w:rPr>
          <w:sz w:val="21"/>
          <w:b/>
          <w:color w:val="222222"/>
          <w:shd w:fill="FFFFFF" w:val="clear"/>
        </w:rPr>
        <w:t>四、服务期间（项目完成期限）</w:t>
      </w:r>
    </w:p>
    <w:p>
      <w:pPr>
        <w:pStyle w:val="null3"/>
        <w:jc w:val="both"/>
      </w:pPr>
      <w:r>
        <w:rPr>
          <w:sz w:val="21"/>
          <w:color w:val="222222"/>
          <w:shd w:fill="FFFFFF" w:val="clear"/>
        </w:rPr>
        <w:t>1.委托服务期间自______年______月至______年______月止。</w:t>
      </w:r>
    </w:p>
    <w:p>
      <w:pPr>
        <w:pStyle w:val="null3"/>
        <w:jc w:val="both"/>
      </w:pPr>
      <w:r>
        <w:rPr>
          <w:sz w:val="21"/>
          <w:b/>
          <w:color w:val="222222"/>
          <w:shd w:fill="FFFFFF" w:val="clear"/>
        </w:rPr>
        <w:t>五、付款方式</w:t>
      </w:r>
    </w:p>
    <w:p>
      <w:pPr>
        <w:pStyle w:val="null3"/>
        <w:jc w:val="both"/>
      </w:pPr>
      <w:r>
        <w:rPr>
          <w:sz w:val="21"/>
          <w:color w:val="222222"/>
          <w:shd w:fill="FFFFFF" w:val="clear"/>
        </w:rPr>
        <w:t>　　由甲方按下列程序在</w:t>
      </w:r>
      <w:r>
        <w:rPr>
          <w:u w:val="single"/>
          <w:shd w:fill="FFFFFF" w:val="clear"/>
        </w:rPr>
        <w:t xml:space="preserve">       </w:t>
      </w:r>
      <w:r>
        <w:rPr>
          <w:sz w:val="21"/>
          <w:color w:val="222222"/>
          <w:shd w:fill="FFFFFF" w:val="clear"/>
        </w:rPr>
        <w:t xml:space="preserve"> </w:t>
      </w:r>
      <w:r>
        <w:rPr>
          <w:sz w:val="21"/>
          <w:color w:val="222222"/>
          <w:shd w:fill="FFFFFF" w:val="clear"/>
        </w:rPr>
        <w:t>内付款：</w:t>
      </w:r>
    </w:p>
    <w:p>
      <w:pPr>
        <w:pStyle w:val="null3"/>
        <w:jc w:val="both"/>
      </w:pPr>
      <w:r>
        <w:rPr/>
        <w:t>第</w:t>
      </w:r>
      <w:r>
        <w:rPr/>
        <w:t>1</w:t>
      </w:r>
      <w:r>
        <w:rPr/>
        <w:t>期为</w:t>
      </w:r>
      <w:r>
        <w:rPr/>
        <w:t>(</w:t>
      </w:r>
      <w:r>
        <w:rPr/>
        <w:t>预付款</w:t>
      </w:r>
      <w:r>
        <w:rPr/>
        <w:t>)</w:t>
      </w:r>
      <w:r>
        <w:rPr/>
        <w:t>：支付比例</w:t>
      </w:r>
      <w:r>
        <w:rPr/>
        <w:t>30%</w:t>
      </w:r>
      <w:r>
        <w:rPr/>
        <w:t>，签订合同后</w:t>
      </w:r>
      <w:r>
        <w:rPr/>
        <w:t>5</w:t>
      </w:r>
      <w:r>
        <w:rPr/>
        <w:t>个工作日内，由甲方向乙方支付合同总价款的</w:t>
      </w:r>
      <w:r>
        <w:rPr/>
        <w:t>30%</w:t>
      </w:r>
      <w:r>
        <w:rPr/>
        <w:t>作为预付款；。</w:t>
      </w:r>
    </w:p>
    <w:p>
      <w:pPr>
        <w:pStyle w:val="null3"/>
      </w:pPr>
      <w:r>
        <w:rPr/>
        <w:t>第</w:t>
      </w:r>
      <w:r>
        <w:rPr/>
        <w:t>2</w:t>
      </w:r>
      <w:r>
        <w:rPr/>
        <w:t>期为</w:t>
      </w:r>
      <w:r>
        <w:rPr/>
        <w:t>(</w:t>
      </w:r>
      <w:r>
        <w:rPr/>
        <w:t>进度款</w:t>
      </w:r>
      <w:r>
        <w:rPr/>
        <w:t>)</w:t>
      </w:r>
      <w:r>
        <w:rPr/>
        <w:t>：支付比例</w:t>
      </w:r>
      <w:r>
        <w:rPr/>
        <w:t>50%</w:t>
      </w:r>
      <w:r>
        <w:rPr/>
        <w:t>，项目完工且实施补植、抚育并由监理方出具施工进度证明并经甲方确认后</w:t>
      </w:r>
      <w:r>
        <w:rPr/>
        <w:t>15</w:t>
      </w:r>
      <w:r>
        <w:rPr/>
        <w:t>日内</w:t>
      </w:r>
      <w:r>
        <w:rPr/>
        <w:t>，支付项目合同金额的</w:t>
      </w:r>
      <w:r>
        <w:rPr/>
        <w:t>50%</w:t>
      </w:r>
      <w:r>
        <w:rPr/>
        <w:t>；。</w:t>
      </w:r>
    </w:p>
    <w:p>
      <w:pPr>
        <w:pStyle w:val="null3"/>
        <w:jc w:val="both"/>
      </w:pPr>
      <w:r>
        <w:rPr>
          <w:sz w:val="21"/>
        </w:rPr>
        <w:t>第</w:t>
      </w:r>
      <w:r>
        <w:rPr>
          <w:sz w:val="21"/>
        </w:rPr>
        <w:t>3</w:t>
      </w:r>
      <w:r>
        <w:rPr>
          <w:sz w:val="21"/>
        </w:rPr>
        <w:t>期为</w:t>
      </w:r>
      <w:r>
        <w:rPr>
          <w:sz w:val="21"/>
        </w:rPr>
        <w:t>(</w:t>
      </w:r>
      <w:r>
        <w:rPr>
          <w:sz w:val="21"/>
        </w:rPr>
        <w:t>尾款</w:t>
      </w:r>
      <w:r>
        <w:rPr>
          <w:sz w:val="21"/>
        </w:rPr>
        <w:t>)</w:t>
      </w:r>
      <w:r>
        <w:rPr>
          <w:sz w:val="21"/>
        </w:rPr>
        <w:t>：支付比例</w:t>
      </w:r>
      <w:r>
        <w:rPr>
          <w:sz w:val="21"/>
        </w:rPr>
        <w:t>20%</w:t>
      </w:r>
      <w:r>
        <w:rPr>
          <w:sz w:val="21"/>
        </w:rPr>
        <w:t>，县验收合格后</w:t>
      </w:r>
      <w:r>
        <w:rPr>
          <w:sz w:val="21"/>
        </w:rPr>
        <w:t>15</w:t>
      </w:r>
      <w:r>
        <w:rPr>
          <w:sz w:val="21"/>
        </w:rPr>
        <w:t>日内</w:t>
      </w:r>
      <w:r>
        <w:rPr>
          <w:sz w:val="21"/>
        </w:rPr>
        <w:t>，向乙方支付合同总价款的</w:t>
      </w:r>
      <w:r>
        <w:rPr>
          <w:sz w:val="21"/>
        </w:rPr>
        <w:t>20%</w:t>
      </w:r>
      <w:r>
        <w:rPr>
          <w:sz w:val="21"/>
        </w:rPr>
        <w:t>。 如项目发生合同融资，甲方应当将合同款项支付到合同约定收款账户。</w:t>
      </w:r>
    </w:p>
    <w:p>
      <w:pPr>
        <w:pStyle w:val="null3"/>
        <w:jc w:val="both"/>
      </w:pPr>
      <w:r>
        <w:rPr>
          <w:sz w:val="21"/>
          <w:b/>
          <w:color w:val="222222"/>
          <w:shd w:fill="FFFFFF" w:val="clear"/>
        </w:rPr>
        <w:t>六、知识产权归属</w:t>
      </w:r>
    </w:p>
    <w:p>
      <w:pPr>
        <w:pStyle w:val="null3"/>
        <w:jc w:val="both"/>
      </w:pPr>
      <w:r>
        <w:rPr>
          <w:sz w:val="21"/>
          <w:b/>
          <w:color w:val="222222"/>
          <w:shd w:fill="FFFFFF" w:val="clear"/>
        </w:rPr>
        <w:t>七、保密</w:t>
      </w:r>
    </w:p>
    <w:p>
      <w:pPr>
        <w:pStyle w:val="null3"/>
        <w:jc w:val="both"/>
      </w:pPr>
      <w:r>
        <w:rPr>
          <w:sz w:val="21"/>
          <w:b/>
          <w:color w:val="222222"/>
          <w:shd w:fill="FFFFFF" w:val="clear"/>
        </w:rPr>
        <w:t>八、违约责任与赔偿损失</w:t>
      </w:r>
    </w:p>
    <w:p>
      <w:pPr>
        <w:pStyle w:val="null3"/>
        <w:jc w:val="both"/>
      </w:pPr>
      <w:r>
        <w:rPr>
          <w:sz w:val="21"/>
          <w:color w:val="222222"/>
          <w:shd w:fill="FFFFFF" w:val="clear"/>
        </w:rPr>
        <w:t>1.乙方提供的服务不符合本合同规定的，甲方有权拒收，并且乙方须向甲方方支付本合同总价5%的违约金。</w:t>
      </w:r>
    </w:p>
    <w:p>
      <w:pPr>
        <w:pStyle w:val="null3"/>
        <w:jc w:val="both"/>
      </w:pPr>
      <w:r>
        <w:rPr>
          <w:sz w:val="21"/>
          <w:color w:val="222222"/>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color w:val="222222"/>
          <w:shd w:fill="FFFFFF" w:val="clear"/>
        </w:rPr>
        <w:t>3.甲方无正当理由拒收接受服务，到期拒付服务款项的，甲方向乙方偿付本合同总的5%的违约金。甲方人逾期付款，则每日按本合同总价的3‰向乙方偿付违约金。</w:t>
      </w:r>
    </w:p>
    <w:p>
      <w:pPr>
        <w:pStyle w:val="null3"/>
        <w:jc w:val="both"/>
      </w:pPr>
      <w:r>
        <w:rPr>
          <w:sz w:val="21"/>
          <w:color w:val="222222"/>
          <w:shd w:fill="FFFFFF" w:val="clear"/>
        </w:rPr>
        <w:t>4.对于因甲方原因导致变更、中止或者终止政府采购合同的，甲方应当依照以下合同约定对供应商受到的损失予以赔偿或者补偿：</w:t>
      </w:r>
    </w:p>
    <w:p>
      <w:pPr>
        <w:pStyle w:val="null3"/>
        <w:jc w:val="both"/>
      </w:pPr>
      <w:r>
        <w:rPr>
          <w:u w:val="single"/>
          <w:shd w:fill="FFFFFF" w:val="clear"/>
        </w:rPr>
        <w:t xml:space="preserve">              </w:t>
      </w:r>
    </w:p>
    <w:p>
      <w:pPr>
        <w:pStyle w:val="null3"/>
        <w:jc w:val="both"/>
      </w:pPr>
      <w:r>
        <w:rPr>
          <w:sz w:val="21"/>
          <w:color w:val="222222"/>
          <w:shd w:fill="FFFFFF" w:val="clear"/>
        </w:rPr>
        <w:t>5.其它违约责任按《中华人民共和国民法典(合同编)》处理。</w:t>
      </w:r>
    </w:p>
    <w:p>
      <w:pPr>
        <w:pStyle w:val="null3"/>
        <w:jc w:val="both"/>
      </w:pPr>
      <w:r>
        <w:rPr>
          <w:sz w:val="21"/>
          <w:b/>
          <w:color w:val="222222"/>
          <w:shd w:fill="FFFFFF" w:val="clear"/>
        </w:rPr>
        <w:t>九、争议的解决</w:t>
      </w:r>
    </w:p>
    <w:p>
      <w:pPr>
        <w:pStyle w:val="null3"/>
        <w:ind w:firstLine="400"/>
        <w:jc w:val="both"/>
      </w:pPr>
      <w:r>
        <w:rPr>
          <w:sz w:val="21"/>
          <w:color w:val="222222"/>
          <w:shd w:fill="FFFFFF" w:val="clear"/>
        </w:rPr>
        <w:t>合同执行过程中发生的任何争议，如双方不能通过友好协商解决，按相关法律法规处理。</w:t>
      </w:r>
      <w:r>
        <w:rPr>
          <w:shd w:fill="FFFFFF" w:val="clear"/>
        </w:rPr>
        <w:t xml:space="preserve">     </w:t>
      </w:r>
    </w:p>
    <w:p>
      <w:pPr>
        <w:pStyle w:val="null3"/>
        <w:jc w:val="both"/>
      </w:pPr>
      <w:r>
        <w:rPr>
          <w:sz w:val="21"/>
          <w:b/>
          <w:color w:val="222222"/>
          <w:shd w:fill="FFFFFF" w:val="clear"/>
        </w:rPr>
        <w:t>十、不可抗力</w:t>
      </w:r>
    </w:p>
    <w:p>
      <w:pPr>
        <w:pStyle w:val="null3"/>
        <w:jc w:val="both"/>
      </w:pPr>
      <w:r>
        <w:rPr>
          <w:sz w:val="21"/>
          <w:color w:val="222222"/>
          <w:shd w:fill="FFFFFF" w:val="clear"/>
        </w:rPr>
        <w:t>　　任何一方由于不可抗力原因不能履行合同时，应在不可抗力事件结束后</w:t>
      </w:r>
      <w:r>
        <w:rPr>
          <w:sz w:val="21"/>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222222"/>
          <w:shd w:fill="FFFFFF" w:val="clear"/>
        </w:rPr>
        <w:t>十一、税费</w:t>
      </w:r>
    </w:p>
    <w:p>
      <w:pPr>
        <w:pStyle w:val="null3"/>
        <w:jc w:val="both"/>
      </w:pPr>
      <w:r>
        <w:rPr>
          <w:sz w:val="21"/>
          <w:color w:val="222222"/>
          <w:shd w:fill="FFFFFF" w:val="clear"/>
        </w:rPr>
        <w:t>　　在中国境内、外发生的与本合同执行有关的一切税费均由乙方负担。</w:t>
      </w:r>
    </w:p>
    <w:p>
      <w:pPr>
        <w:pStyle w:val="null3"/>
        <w:jc w:val="both"/>
      </w:pPr>
      <w:r>
        <w:rPr>
          <w:sz w:val="21"/>
          <w:b/>
          <w:color w:val="222222"/>
          <w:shd w:fill="FFFFFF" w:val="clear"/>
        </w:rPr>
        <w:t>十二、其它</w:t>
      </w:r>
    </w:p>
    <w:p>
      <w:pPr>
        <w:pStyle w:val="null3"/>
        <w:jc w:val="both"/>
      </w:pPr>
      <w:r>
        <w:rPr>
          <w:sz w:val="21"/>
          <w:color w:val="222222"/>
          <w:shd w:fill="FFFFFF" w:val="clear"/>
        </w:rPr>
        <w:t>1.本合同所有附件、招标文件、投标文件、中标通知书均为合同的有效组成部分，与本合同具有同等法律效力。</w:t>
      </w:r>
    </w:p>
    <w:p>
      <w:pPr>
        <w:pStyle w:val="null3"/>
        <w:jc w:val="both"/>
      </w:pPr>
      <w:r>
        <w:rPr>
          <w:sz w:val="21"/>
          <w:color w:val="222222"/>
          <w:shd w:fill="FFFFFF" w:val="clear"/>
        </w:rPr>
        <w:t>2.在执行本合同的过程中，所有经双方签署确认的文件（包括会议纪要、补充协议、往来信函）即成为本合同的有效组成部分。</w:t>
      </w:r>
    </w:p>
    <w:p>
      <w:pPr>
        <w:pStyle w:val="null3"/>
        <w:jc w:val="both"/>
      </w:pPr>
      <w:r>
        <w:rPr>
          <w:sz w:val="21"/>
          <w:color w:val="222222"/>
          <w:shd w:fill="FFFFFF" w:val="clear"/>
        </w:rPr>
        <w:t>3.如一方地址、电话、传真号码有变更，应在变更当日内书面通知对方，否则，应承担相应责任。</w:t>
      </w:r>
    </w:p>
    <w:p>
      <w:pPr>
        <w:pStyle w:val="null3"/>
        <w:jc w:val="both"/>
      </w:pPr>
      <w:r>
        <w:rPr>
          <w:sz w:val="21"/>
          <w:color w:val="222222"/>
          <w:shd w:fill="FFFFFF" w:val="clear"/>
        </w:rPr>
        <w:t>4.除甲方事先书面同意外，乙方不得部分或全部转让其应履行的合同项下的义务。</w:t>
      </w:r>
    </w:p>
    <w:p>
      <w:pPr>
        <w:pStyle w:val="null3"/>
        <w:jc w:val="both"/>
      </w:pPr>
      <w:r>
        <w:rPr>
          <w:sz w:val="21"/>
          <w:b/>
          <w:color w:val="222222"/>
          <w:shd w:fill="FFFFFF" w:val="clear"/>
        </w:rPr>
        <w:t>十三、合同生效</w:t>
      </w:r>
    </w:p>
    <w:p>
      <w:pPr>
        <w:pStyle w:val="null3"/>
        <w:jc w:val="both"/>
      </w:pPr>
      <w:r>
        <w:rPr>
          <w:sz w:val="21"/>
          <w:color w:val="222222"/>
          <w:shd w:fill="FFFFFF" w:val="clear"/>
        </w:rPr>
        <w:t>1.本合同在甲乙双方法人代表或其授权代表签字盖章后生效。</w:t>
      </w:r>
    </w:p>
    <w:p>
      <w:pPr>
        <w:pStyle w:val="null3"/>
        <w:jc w:val="both"/>
      </w:pPr>
      <w:r>
        <w:rPr>
          <w:sz w:val="21"/>
          <w:color w:val="222222"/>
          <w:shd w:fill="FFFFFF" w:val="clear"/>
        </w:rPr>
        <w:t>2.合同一式</w:t>
      </w:r>
      <w:r>
        <w:rPr>
          <w:u w:val="single"/>
          <w:shd w:fill="FFFFFF" w:val="clear"/>
        </w:rPr>
        <w:t xml:space="preserve">   </w:t>
      </w:r>
      <w:r>
        <w:rPr>
          <w:sz w:val="21"/>
          <w:color w:val="222222"/>
          <w:shd w:fill="FFFFFF" w:val="clear"/>
        </w:rPr>
        <w:t xml:space="preserve"> </w:t>
      </w:r>
      <w:r>
        <w:rPr>
          <w:sz w:val="21"/>
          <w:color w:val="222222"/>
          <w:shd w:fill="FFFFFF" w:val="clear"/>
        </w:rPr>
        <w:t>份。</w:t>
      </w:r>
    </w:p>
    <w:p>
      <w:pPr>
        <w:pStyle w:val="null3"/>
        <w:spacing w:before="150" w:after="150"/>
        <w:jc w:val="both"/>
      </w:pPr>
      <w:r>
        <w:rPr>
          <w:shd w:fill="FFFFFF" w:val="clear"/>
        </w:rPr>
        <w:t xml:space="preserve"> </w:t>
      </w:r>
    </w:p>
    <w:p>
      <w:pPr>
        <w:pStyle w:val="null3"/>
        <w:jc w:val="both"/>
      </w:pPr>
      <w:r>
        <w:rPr>
          <w:sz w:val="21"/>
          <w:b/>
          <w:color w:val="222222"/>
          <w:shd w:fill="FFFFFF" w:val="clear"/>
        </w:rPr>
        <w:t>甲方（盖章）：</w:t>
      </w:r>
      <w:r>
        <w:rPr>
          <w:sz w:val="21"/>
          <w:b/>
          <w:color w:val="222222"/>
          <w:shd w:fill="FFFFFF" w:val="clear"/>
        </w:rPr>
        <w:t xml:space="preserve">                </w:t>
      </w:r>
      <w:r>
        <w:rPr>
          <w:sz w:val="21"/>
          <w:b/>
          <w:color w:val="222222"/>
          <w:shd w:fill="FFFFFF" w:val="clear"/>
        </w:rPr>
        <w:t>乙方（盖章）：</w:t>
      </w:r>
    </w:p>
    <w:p>
      <w:pPr>
        <w:pStyle w:val="null3"/>
        <w:jc w:val="both"/>
      </w:pPr>
      <w:r>
        <w:rPr>
          <w:sz w:val="21"/>
          <w:b/>
          <w:color w:val="222222"/>
          <w:shd w:fill="FFFFFF" w:val="clear"/>
        </w:rPr>
        <w:t>代表：</w:t>
      </w:r>
      <w:r>
        <w:rPr>
          <w:sz w:val="21"/>
          <w:b/>
          <w:color w:val="222222"/>
          <w:shd w:fill="FFFFFF" w:val="clear"/>
        </w:rPr>
        <w:t xml:space="preserve">                       </w:t>
      </w:r>
      <w:r>
        <w:rPr>
          <w:sz w:val="21"/>
          <w:b/>
          <w:color w:val="222222"/>
          <w:shd w:fill="FFFFFF" w:val="clear"/>
        </w:rPr>
        <w:t>代表：</w:t>
      </w:r>
    </w:p>
    <w:p>
      <w:pPr>
        <w:pStyle w:val="null3"/>
        <w:jc w:val="both"/>
      </w:pPr>
      <w:r>
        <w:rPr>
          <w:sz w:val="21"/>
          <w:color w:val="222222"/>
          <w:shd w:fill="FFFFFF" w:val="clear"/>
        </w:rPr>
        <w:t>签订地点：</w:t>
      </w:r>
    </w:p>
    <w:p>
      <w:pPr>
        <w:pStyle w:val="null3"/>
        <w:jc w:val="both"/>
      </w:pPr>
      <w:r>
        <w:rPr>
          <w:sz w:val="21"/>
          <w:color w:val="222222"/>
          <w:shd w:fill="FFFFFF" w:val="clear"/>
        </w:rPr>
        <w:t>签订日期：　　　年　　月　　日</w:t>
      </w:r>
      <w:r>
        <w:rPr>
          <w:sz w:val="21"/>
          <w:color w:val="222222"/>
          <w:shd w:fill="FFFFFF" w:val="clear"/>
        </w:rPr>
        <w:t xml:space="preserve">  </w:t>
      </w:r>
      <w:r>
        <w:rPr>
          <w:sz w:val="21"/>
          <w:color w:val="222222"/>
          <w:shd w:fill="FFFFFF" w:val="clear"/>
        </w:rPr>
        <w:t>签订日期：　　　年　　月　　日</w:t>
      </w:r>
    </w:p>
    <w:p>
      <w:pPr>
        <w:pStyle w:val="null3"/>
        <w:jc w:val="both"/>
      </w:pPr>
      <w:r>
        <w:rPr>
          <w:sz w:val="21"/>
          <w:color w:val="222222"/>
          <w:shd w:fill="FFFFFF" w:val="clear"/>
        </w:rPr>
        <w:t>开户名称：</w:t>
      </w:r>
    </w:p>
    <w:p>
      <w:pPr>
        <w:pStyle w:val="null3"/>
        <w:jc w:val="both"/>
      </w:pPr>
      <w:r>
        <w:rPr>
          <w:sz w:val="21"/>
          <w:color w:val="222222"/>
          <w:shd w:fill="FFFFFF" w:val="clear"/>
        </w:rPr>
        <w:t>银行帐号：</w:t>
      </w:r>
    </w:p>
    <w:p>
      <w:pPr>
        <w:pStyle w:val="null3"/>
        <w:jc w:val="both"/>
      </w:pPr>
      <w:r>
        <w:rPr>
          <w:sz w:val="21"/>
          <w:color w:val="222222"/>
          <w:shd w:fill="FFFFFF" w:val="clear"/>
        </w:rPr>
        <w:t>开</w:t>
      </w:r>
      <w:r>
        <w:rPr>
          <w:sz w:val="21"/>
          <w:color w:val="222222"/>
          <w:shd w:fill="FFFFFF" w:val="clear"/>
        </w:rPr>
        <w:t>户</w:t>
      </w:r>
      <w:r>
        <w:rPr>
          <w:sz w:val="21"/>
          <w:color w:val="222222"/>
          <w:shd w:fill="FFFFFF" w:val="clear"/>
        </w:rPr>
        <w:t>行：</w:t>
      </w:r>
    </w:p>
    <w:p>
      <w:pPr>
        <w:pStyle w:val="null3"/>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441224-2025-02400</w:t>
      </w:r>
    </w:p>
    <w:p>
      <w:pPr>
        <w:pStyle w:val="null3"/>
        <w:jc w:val="center"/>
        <w:outlineLvl w:val="3"/>
      </w:pPr>
      <w:r>
        <w:rPr>
          <w:sz w:val="24"/>
          <w:b/>
        </w:rPr>
        <w:t>采购项目编号：</w:t>
      </w:r>
      <w:r>
        <w:rPr>
          <w:sz w:val="24"/>
          <w:b/>
        </w:rPr>
        <w:t>GDXT-2025-17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广东祥泰工程项目管理有限公司</w:t>
      </w:r>
    </w:p>
    <w:p>
      <w:pPr>
        <w:pStyle w:val="null3"/>
        <w:ind w:firstLine="480"/>
      </w:pPr>
      <w:r>
        <w:rPr/>
        <w:t xml:space="preserve"> 你方组织的</w:t>
      </w:r>
      <w:r>
        <w:rPr>
          <w:u w:val="single"/>
        </w:rPr>
        <w:t>“</w:t>
      </w:r>
      <w:r>
        <w:rPr>
          <w:u w:val="single"/>
        </w:rPr>
        <w:t>怀集县2025年森林质量精准提升工程（森林抚育）建设项目</w:t>
      </w:r>
      <w:r>
        <w:rPr>
          <w:u w:val="single"/>
        </w:rPr>
        <w:t>”</w:t>
      </w:r>
      <w:r>
        <w:rPr/>
        <w:t>项目的招标[采购项目编号为：</w:t>
      </w:r>
      <w:r>
        <w:rPr>
          <w:u w:val="single"/>
        </w:rPr>
        <w:t>GDXT-2025-17</w:t>
      </w:r>
      <w:r>
        <w:rPr/>
        <w:t>]，我方愿参与投标。</w:t>
      </w:r>
    </w:p>
    <w:p>
      <w:pPr>
        <w:pStyle w:val="null3"/>
        <w:ind w:firstLine="480"/>
      </w:pPr>
      <w:r>
        <w:rPr/>
        <w:t>我方确认收到贵方提供的</w:t>
      </w:r>
      <w:r>
        <w:rPr>
          <w:u w:val="single"/>
        </w:rPr>
        <w:t>“</w:t>
      </w:r>
      <w:r>
        <w:rPr>
          <w:u w:val="single"/>
        </w:rPr>
        <w:t>怀集县2025年森林质量精准提升工程（森林抚育）建设项目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怀集县2025年森林质量精准提升工程（森林抚育）建设项目</w:t>
      </w:r>
      <w:r>
        <w:rPr/>
        <w:t>”项目采购[采购项目编号为</w:t>
      </w:r>
      <w:r>
        <w:rPr/>
        <w:t>GDXT-2025-17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广东祥泰工程项目管理有限公司</w:t>
      </w:r>
    </w:p>
    <w:p>
      <w:pPr>
        <w:pStyle w:val="null3"/>
        <w:ind w:firstLine="480"/>
      </w:pPr>
      <w:r>
        <w:rPr/>
        <w:t xml:space="preserve"> 如果我方在贵采购代理机构组织的</w:t>
      </w:r>
      <w:r>
        <w:rPr/>
        <w:t>怀集县2025年森林质量精准提升工程（森林抚育）建设项目</w:t>
      </w:r>
      <w:r>
        <w:rPr/>
        <w:t>招标中获中标（采购项目编号：</w:t>
      </w:r>
      <w:r>
        <w:rPr/>
        <w:t>GDXT-2025-17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广东祥泰工程项目管理有限公司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怀集县2025年森林质量精准提升工程（森林抚育）建设项目</w:t>
      </w:r>
      <w:r>
        <w:rPr/>
        <w:t>”项目（采购项目编号：</w:t>
      </w:r>
      <w:r>
        <w:rPr/>
        <w:t>GDXT-2025-17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